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305614</w:t>
      </w:r>
      <w:bookmarkStart w:id="1" w:name="_GoBack"/>
      <w:bookmarkEnd w:id="1"/>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 for AI/ML model</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In </w:t>
      </w:r>
      <w:r>
        <w:rPr>
          <w:rFonts w:hint="eastAsia" w:ascii="Arial" w:hAnsi="Arial" w:cs="Arial"/>
          <w:sz w:val="20"/>
          <w:szCs w:val="20"/>
          <w:lang w:val="en-US" w:eastAsia="zh-CN"/>
        </w:rPr>
        <w:t>last meeting[1], RAN2 discussed the extension for data collection Table and achieved the following agreements.</w:t>
      </w:r>
      <w:r>
        <w:rPr>
          <w:rFonts w:ascii="Arial" w:hAnsi="Arial" w:eastAsia="宋体" w:cs="Arial"/>
          <w:kern w:val="0"/>
          <w:sz w:val="20"/>
          <w:szCs w:val="20"/>
          <w:lang w:val="en-GB" w:eastAsia="en-US"/>
        </w:rPr>
        <w:t xml:space="preserve"> </w:t>
      </w:r>
    </w:p>
    <w:tbl>
      <w:tblPr>
        <w:tblStyle w:val="14"/>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5" w:type="dxa"/>
          </w:tcPr>
          <w:p>
            <w:pPr>
              <w:pStyle w:val="31"/>
              <w:tabs>
                <w:tab w:val="left" w:pos="1352"/>
              </w:tabs>
              <w:overflowPunct/>
              <w:autoSpaceDE/>
              <w:autoSpaceDN/>
              <w:adjustRightInd/>
              <w:ind w:left="1619" w:hanging="360"/>
              <w:textAlignment w:val="auto"/>
              <w:rPr>
                <w:rFonts w:hint="default" w:ascii="Arial" w:hAnsi="Arial" w:cs="Arial"/>
                <w:sz w:val="20"/>
                <w:szCs w:val="21"/>
              </w:rPr>
            </w:pPr>
            <w:bookmarkStart w:id="0" w:name="OLE_LINK113"/>
            <w:r>
              <w:rPr>
                <w:rFonts w:hint="default" w:ascii="Arial" w:hAnsi="Arial" w:cs="Arial"/>
                <w:sz w:val="20"/>
                <w:szCs w:val="21"/>
              </w:rPr>
              <w:t>Extend the previously endorsed table with 3 columns: Inference, Monitoring and Training, and explain in free text the applicability of the data collection method to the LCM purpose and the use case(s).</w:t>
            </w:r>
          </w:p>
          <w:bookmarkEnd w:id="0"/>
          <w:p>
            <w:pPr>
              <w:pStyle w:val="31"/>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P1: RAN2 to understand/determine/capture requirements of data collection for the LCM functionalities and document the results. FFS on the exact presentation format. Expect RAN1 to provide some related information. </w:t>
            </w:r>
          </w:p>
          <w:p>
            <w:pPr>
              <w:pStyle w:val="31"/>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P2: RAN2 to capture the analysis (see P1 above) separately for the use-cases, i.e., CSI feedback enhancement, beam management and positioning enhancement.  FFS how we do the formatting/presentation of the results. </w:t>
            </w:r>
          </w:p>
          <w:p>
            <w:pPr>
              <w:pStyle w:val="31"/>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P3: Study the applicability (and limitations) of each identified data collection framework for each of the identified LCM purposes, i.e., inference, monitoring and (offline) training. FFS how we do the formatting/presentation of the results.</w:t>
            </w:r>
          </w:p>
          <w:p>
            <w:pPr>
              <w:pStyle w:val="31"/>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P4: With more progress on architectural discussion, consider the suitability of each identified data collection framework for the termination points and mapping with the location of LCM purposes/functions (inference, monitoring, (offline) training) </w:t>
            </w:r>
          </w:p>
          <w:p>
            <w:pPr>
              <w:pStyle w:val="31"/>
              <w:numPr>
                <w:ilvl w:val="0"/>
                <w:numId w:val="0"/>
              </w:numPr>
              <w:tabs>
                <w:tab w:val="left" w:pos="720"/>
                <w:tab w:val="left" w:pos="1352"/>
              </w:tabs>
              <w:ind w:left="1619"/>
              <w:rPr>
                <w:rFonts w:hint="default" w:ascii="Arial" w:hAnsi="Arial" w:cs="Arial"/>
                <w:sz w:val="20"/>
                <w:szCs w:val="21"/>
              </w:rPr>
            </w:pPr>
            <w:r>
              <w:rPr>
                <w:rFonts w:hint="default" w:ascii="Arial" w:hAnsi="Arial" w:cs="Arial"/>
                <w:sz w:val="20"/>
                <w:szCs w:val="21"/>
              </w:rPr>
              <w:t xml:space="preserve">- Model sidedness (UE side, NW side, two sided) FFS </w:t>
            </w:r>
          </w:p>
          <w:p>
            <w:pPr>
              <w:pStyle w:val="31"/>
              <w:numPr>
                <w:ilvl w:val="0"/>
                <w:numId w:val="0"/>
              </w:numPr>
              <w:tabs>
                <w:tab w:val="left" w:pos="720"/>
                <w:tab w:val="left" w:pos="1352"/>
              </w:tabs>
              <w:ind w:left="1619"/>
              <w:rPr>
                <w:rFonts w:hint="default" w:ascii="Arial" w:hAnsi="Arial" w:cs="Arial"/>
                <w:sz w:val="20"/>
                <w:szCs w:val="21"/>
              </w:rPr>
            </w:pPr>
            <w:r>
              <w:rPr>
                <w:rFonts w:hint="default" w:ascii="Arial" w:hAnsi="Arial" w:cs="Arial"/>
                <w:sz w:val="20"/>
                <w:szCs w:val="21"/>
              </w:rPr>
              <w:t>- Use case mapping FFS</w:t>
            </w:r>
          </w:p>
          <w:p>
            <w:pPr>
              <w:pStyle w:val="31"/>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P5: RAN2 to modify the previously endorsed table by adding 3 additional columns: inference; monitoring and (offline) training. Whether to, and how to further restructure the table is FFS.</w:t>
            </w:r>
          </w:p>
          <w:p>
            <w:pPr>
              <w:pStyle w:val="31"/>
              <w:tabs>
                <w:tab w:val="left" w:pos="1352"/>
              </w:tabs>
              <w:overflowPunct/>
              <w:autoSpaceDE/>
              <w:autoSpaceDN/>
              <w:adjustRightInd/>
              <w:ind w:left="1619" w:hanging="360"/>
              <w:textAlignment w:val="auto"/>
              <w:rPr>
                <w:rFonts w:ascii="Arial" w:hAnsi="Arial" w:eastAsia="宋体" w:cs="Arial"/>
                <w:kern w:val="0"/>
                <w:sz w:val="20"/>
                <w:szCs w:val="20"/>
                <w:vertAlign w:val="baseline"/>
                <w:lang w:val="en-GB" w:eastAsia="en-US"/>
              </w:rPr>
            </w:pPr>
            <w:r>
              <w:rPr>
                <w:rFonts w:hint="default" w:ascii="Arial" w:hAnsi="Arial" w:cs="Arial"/>
                <w:sz w:val="20"/>
                <w:szCs w:val="21"/>
              </w:rPr>
              <w:t xml:space="preserve">Observation: RAN2 may need to consider enhancements for AIML to existing functionality for data collection, e.g. for timing control (e.g. for MDT/RRM). </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remaining issues on data collection</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 xml:space="preserve">2.1 </w:t>
      </w:r>
      <w:r>
        <w:rPr>
          <w:rFonts w:hint="eastAsia" w:ascii="Arial" w:hAnsi="Arial" w:eastAsia="宋体" w:cs="Arial"/>
          <w:kern w:val="0"/>
          <w:sz w:val="32"/>
          <w:szCs w:val="18"/>
          <w:lang w:val="en-US" w:eastAsia="zh-CN"/>
        </w:rPr>
        <w:t>General principle</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the RAN2#121 meeting, RAN2 agreed to endorse the table in [2] as starting point, and we can see RRC state to generate data is listed for existing data collection frameworks. In current studied use cases (i.e. CSI feedback enhancement, beam management and positioning accuracy enhancement), only RRC_CONNECTED UEs are within the target of SI. However, for early measurement, UE only performs the measurement and stores the measurement results in RRC_IDLE/RRC_INACTIVE state, and early measurement is mainly applied for DC. In addition, the UE is not expected to perform frequent measurement since power saving is a key requirement for UE in idle/inactive state. </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propose to preclude early measurement framework for data collection.</w:t>
      </w:r>
    </w:p>
    <w:p>
      <w:pPr>
        <w:spacing w:before="120" w:beforeLines="50" w:after="120" w:line="260" w:lineRule="exact"/>
        <w:rPr>
          <w:rFonts w:ascii="Arial" w:hAnsi="Arial" w:cs="Arial" w:eastAsiaTheme="minorEastAsia"/>
          <w:b/>
          <w:sz w:val="20"/>
          <w:szCs w:val="20"/>
          <w:lang w:val="en-GB" w:eastAsia="zh-CN"/>
        </w:rPr>
      </w:pPr>
      <w:r>
        <w:rPr>
          <w:rFonts w:ascii="Arial" w:hAnsi="Arial" w:cs="Arial" w:eastAsiaTheme="minorEastAsia"/>
          <w:b/>
          <w:sz w:val="20"/>
          <w:szCs w:val="20"/>
          <w:lang w:val="en-GB" w:eastAsia="zh-CN"/>
        </w:rPr>
        <w:t xml:space="preserve">Proposal </w:t>
      </w:r>
      <w:r>
        <w:rPr>
          <w:rFonts w:hint="eastAsia" w:ascii="Arial" w:hAnsi="Arial" w:cs="Arial"/>
          <w:b/>
          <w:sz w:val="20"/>
          <w:szCs w:val="20"/>
          <w:lang w:val="en-US" w:eastAsia="zh-CN"/>
        </w:rPr>
        <w:t>1</w:t>
      </w:r>
      <w:r>
        <w:rPr>
          <w:rFonts w:ascii="Arial" w:hAnsi="Arial" w:cs="Arial" w:eastAsiaTheme="minorEastAsia"/>
          <w:b/>
          <w:sz w:val="20"/>
          <w:szCs w:val="20"/>
          <w:lang w:val="en-GB" w:eastAsia="zh-CN"/>
        </w:rPr>
        <w:t xml:space="preserve">: </w:t>
      </w:r>
      <w:r>
        <w:rPr>
          <w:rFonts w:hint="eastAsia" w:ascii="Arial" w:hAnsi="Arial" w:cs="Arial"/>
          <w:b/>
          <w:sz w:val="20"/>
          <w:szCs w:val="20"/>
          <w:lang w:val="en-US" w:eastAsia="zh-CN"/>
        </w:rPr>
        <w:t>E</w:t>
      </w:r>
      <w:r>
        <w:rPr>
          <w:rFonts w:hint="eastAsia" w:ascii="Arial" w:hAnsi="Arial" w:cs="Arial" w:eastAsiaTheme="minorEastAsia"/>
          <w:b/>
          <w:sz w:val="20"/>
          <w:szCs w:val="20"/>
          <w:lang w:val="en-GB" w:eastAsia="zh-CN"/>
        </w:rPr>
        <w:t>arly measurement framework</w:t>
      </w:r>
      <w:r>
        <w:rPr>
          <w:rFonts w:hint="eastAsia" w:ascii="Arial" w:hAnsi="Arial" w:cs="Arial"/>
          <w:b/>
          <w:sz w:val="20"/>
          <w:szCs w:val="20"/>
          <w:lang w:val="en-US" w:eastAsia="zh-CN"/>
        </w:rPr>
        <w:t xml:space="preserve"> is not pursued for data collection</w:t>
      </w:r>
      <w:r>
        <w:rPr>
          <w:rFonts w:ascii="Arial" w:hAnsi="Arial" w:cs="Arial" w:eastAsiaTheme="minorEastAsia"/>
          <w:b/>
          <w:sz w:val="20"/>
          <w:szCs w:val="20"/>
          <w:lang w:val="en-GB" w:eastAsia="zh-CN"/>
        </w:rPr>
        <w:t>.</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previous meeting, the EVEX framework was proposed for data collection for this SI and no conclusion was made. According to TS 26.531 [3] and TS 26.532 [4], the data is collected from UE Application(s) by a Network Data Analytics Function (NWDAF) via an intermediary Application Function, which is fully out of RAN scope and is transparent to RAN. On the other hand, the use cases studied in R18 SI are RAN-centric, especially for CSI feedback and beam management, and the related data is AS layer measurement result. The additional interactions between AS layer and Application layer should be introduced to support data collection via EVEX, which will increase unnecessary RAN2 workload. We think RAN2 should focus on the RAN-centric/LMF-centric data collection frameworks, and the EVEX framework is not pursued in R18 AI/ML SI.</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EVEX framework is not pursued in R18 AI/ML SI.</w:t>
      </w:r>
    </w:p>
    <w:p>
      <w:pPr>
        <w:spacing w:before="120" w:beforeLines="50" w:after="120" w:line="260" w:lineRule="exact"/>
        <w:rPr>
          <w:rFonts w:hint="eastAsia" w:ascii="Arial" w:hAnsi="Arial" w:cs="Arial"/>
          <w:b w:val="0"/>
          <w:bCs/>
          <w:i w:val="0"/>
          <w:iCs w:val="0"/>
          <w:sz w:val="20"/>
          <w:szCs w:val="20"/>
          <w:lang w:val="en-US" w:eastAsia="zh-CN"/>
        </w:rPr>
      </w:pPr>
      <w:r>
        <w:rPr>
          <w:rFonts w:hint="eastAsia" w:ascii="Arial" w:hAnsi="Arial" w:cs="Arial"/>
          <w:b w:val="0"/>
          <w:bCs/>
          <w:i w:val="0"/>
          <w:iCs w:val="0"/>
          <w:sz w:val="20"/>
          <w:szCs w:val="20"/>
          <w:lang w:val="en-US" w:eastAsia="zh-CN"/>
        </w:rPr>
        <w:t xml:space="preserve">For the details on the content of data (e.g. ground-truth label, other training data, input for inference), data size, latency requirements for each use case, RAN1 also discussed separately and we can wait for RAN1 progress. </w:t>
      </w:r>
    </w:p>
    <w:p>
      <w:pPr>
        <w:spacing w:before="120" w:beforeLines="50" w:after="120" w:line="260" w:lineRule="exact"/>
        <w:rPr>
          <w:rFonts w:hint="eastAsia" w:ascii="Arial" w:hAnsi="Arial" w:cs="Arial"/>
          <w:b/>
          <w:bCs w:val="0"/>
          <w:i w:val="0"/>
          <w:iCs w:val="0"/>
          <w:sz w:val="20"/>
          <w:szCs w:val="20"/>
          <w:lang w:val="en-US" w:eastAsia="zh-CN"/>
        </w:rPr>
      </w:pPr>
      <w:r>
        <w:rPr>
          <w:rFonts w:hint="eastAsia" w:ascii="Arial" w:hAnsi="Arial" w:cs="Arial"/>
          <w:b/>
          <w:bCs w:val="0"/>
          <w:i w:val="0"/>
          <w:iCs w:val="0"/>
          <w:sz w:val="20"/>
          <w:szCs w:val="20"/>
          <w:lang w:val="en-US" w:eastAsia="zh-CN"/>
        </w:rPr>
        <w:t>Proposal 3: For the details on the content of data, data size, latency requirements per use case, RAN2 can wait for RAN1</w:t>
      </w:r>
      <w:r>
        <w:rPr>
          <w:rFonts w:hint="default" w:ascii="Arial" w:hAnsi="Arial" w:cs="Arial"/>
          <w:b/>
          <w:bCs w:val="0"/>
          <w:i w:val="0"/>
          <w:iCs w:val="0"/>
          <w:sz w:val="20"/>
          <w:szCs w:val="20"/>
          <w:lang w:val="en-US" w:eastAsia="zh-CN"/>
        </w:rPr>
        <w:t>’</w:t>
      </w:r>
      <w:r>
        <w:rPr>
          <w:rFonts w:hint="eastAsia" w:ascii="Arial" w:hAnsi="Arial" w:cs="Arial"/>
          <w:b/>
          <w:bCs w:val="0"/>
          <w:i w:val="0"/>
          <w:iCs w:val="0"/>
          <w:sz w:val="20"/>
          <w:szCs w:val="20"/>
          <w:lang w:val="en-US" w:eastAsia="zh-CN"/>
        </w:rPr>
        <w:t>s progress.</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to extend the previously endorsed table with 3 columns: Inference, Monitoring and Training, and explain in free text the applicability of the data collection method to the LCM purpose and the use case(s). We will analyze the applicable data collection framework per LCM procedure per use case.</w:t>
      </w:r>
    </w:p>
    <w:p>
      <w:pPr>
        <w:widowControl/>
        <w:spacing w:after="180"/>
        <w:outlineLvl w:val="1"/>
        <w:rPr>
          <w:rFonts w:hint="eastAsia"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training</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In last meeting, RAN2 agreed to deprioritize online/real-time training during the SI.</w:t>
      </w:r>
    </w:p>
    <w:tbl>
      <w:tblPr>
        <w:tblStyle w:val="14"/>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pStyle w:val="31"/>
              <w:tabs>
                <w:tab w:val="left" w:pos="1352"/>
              </w:tabs>
              <w:overflowPunct/>
              <w:autoSpaceDE/>
              <w:autoSpaceDN/>
              <w:adjustRightInd/>
              <w:ind w:left="1619" w:hanging="360"/>
              <w:textAlignment w:val="auto"/>
              <w:rPr>
                <w:rFonts w:hint="eastAsia" w:ascii="Arial" w:hAnsi="Arial" w:cs="Arial"/>
                <w:b w:val="0"/>
                <w:bCs/>
                <w:sz w:val="20"/>
                <w:szCs w:val="20"/>
                <w:vertAlign w:val="baseline"/>
                <w:lang w:val="en-US" w:eastAsia="zh-CN"/>
              </w:rPr>
            </w:pPr>
            <w:r>
              <w:rPr>
                <w:rFonts w:hint="default" w:ascii="Arial" w:hAnsi="Arial" w:cs="Arial"/>
                <w:sz w:val="20"/>
                <w:szCs w:val="21"/>
              </w:rPr>
              <w:t xml:space="preserve">R2 will deprioritize aspects of on-line/real-time training for the whole SI (unless R1 identifies that it is needed for one of the studied use cases). </w:t>
            </w:r>
          </w:p>
        </w:tc>
      </w:tr>
    </w:tbl>
    <w:p>
      <w:pPr>
        <w:spacing w:before="120" w:beforeLines="50" w:after="120" w:line="260" w:lineRule="exact"/>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and beam management use case, we think that CN is not a good entity to collect all necessary </w:t>
      </w:r>
      <w:r>
        <w:rPr>
          <w:rFonts w:hint="eastAsia" w:ascii="Arial" w:hAnsi="Arial" w:cs="Arial"/>
          <w:b w:val="0"/>
          <w:bCs/>
          <w:sz w:val="20"/>
          <w:szCs w:val="20"/>
          <w:lang w:val="en-US" w:eastAsia="zh-CN"/>
        </w:rPr>
        <w:t xml:space="preserve">data </w:t>
      </w:r>
      <w:r>
        <w:rPr>
          <w:rFonts w:hint="eastAsia" w:ascii="Arial" w:hAnsi="Arial" w:eastAsia="宋体" w:cs="Arial"/>
          <w:kern w:val="0"/>
          <w:sz w:val="20"/>
          <w:szCs w:val="20"/>
          <w:lang w:val="en-US" w:eastAsia="zh-CN"/>
        </w:rPr>
        <w:t>for offline model training because the CSI compression and beam management are purely over air interface which only involves UE and gNB. In addition, it is also hard for CN to understand the physical parameters and determine which AI/ML model is applicable for the specific use case. Thus, data collection for offline training for CSI feedback and beam management use case shall not be terminated at CN.</w:t>
      </w:r>
    </w:p>
    <w:p>
      <w:pPr>
        <w:pStyle w:val="8"/>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CSI feedback and beam management use case, data collection for offline training shall not be terminated at CN.</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Among the existing data collection frameworks [2], data is always collected from UE and reported to network. If the model is trained at UE side, data collection from network to UE can be further studied and new framework may be needed. RAN1 also discussed this case for beam management and will study the potential spec impacts.</w:t>
      </w:r>
    </w:p>
    <w:tbl>
      <w:tblPr>
        <w:tblStyle w:val="14"/>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after="120"/>
              <w:ind w:left="0" w:firstLine="0"/>
              <w:rPr>
                <w:rFonts w:hint="default" w:ascii="Times New Roman" w:hAnsi="Times New Roman" w:cs="Times New Roman"/>
                <w:b/>
                <w:iCs/>
                <w:sz w:val="20"/>
                <w:szCs w:val="21"/>
                <w:highlight w:val="green"/>
                <w:lang w:eastAsia="zh-CN"/>
              </w:rPr>
            </w:pPr>
            <w:r>
              <w:rPr>
                <w:rFonts w:hint="eastAsia" w:ascii="Times New Roman" w:hAnsi="Times New Roman" w:cs="Times New Roman"/>
                <w:b/>
                <w:iCs/>
                <w:sz w:val="20"/>
                <w:szCs w:val="21"/>
                <w:highlight w:val="green"/>
                <w:lang w:val="en-US" w:eastAsia="zh-CN"/>
              </w:rPr>
              <w:t xml:space="preserve">RAN1#111 </w:t>
            </w:r>
            <w:r>
              <w:rPr>
                <w:rFonts w:hint="default" w:ascii="Times New Roman" w:hAnsi="Times New Roman" w:cs="Times New Roman"/>
                <w:b/>
                <w:iCs/>
                <w:sz w:val="20"/>
                <w:szCs w:val="21"/>
                <w:highlight w:val="green"/>
                <w:lang w:eastAsia="zh-CN"/>
              </w:rPr>
              <w:t>Agreement</w:t>
            </w:r>
          </w:p>
          <w:p>
            <w:pPr>
              <w:spacing w:after="120"/>
              <w:ind w:left="0" w:firstLine="0"/>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Regarding the </w:t>
            </w:r>
            <w:r>
              <w:rPr>
                <w:rFonts w:hint="default" w:ascii="Times New Roman" w:hAnsi="Times New Roman" w:cs="Times New Roman"/>
                <w:b w:val="0"/>
                <w:bCs/>
                <w:i w:val="0"/>
                <w:iCs/>
                <w:sz w:val="20"/>
                <w:szCs w:val="21"/>
                <w:highlight w:val="none"/>
                <w:lang w:eastAsia="zh-CN"/>
              </w:rPr>
              <w:t>data collection</w:t>
            </w:r>
            <w:r>
              <w:rPr>
                <w:rFonts w:hint="default" w:ascii="Times New Roman" w:hAnsi="Times New Roman" w:cs="Times New Roman"/>
                <w:b w:val="0"/>
                <w:bCs/>
                <w:i w:val="0"/>
                <w:iCs/>
                <w:sz w:val="20"/>
                <w:szCs w:val="21"/>
                <w:lang w:eastAsia="zh-CN"/>
              </w:rPr>
              <w:t xml:space="preserve"> for AI/ML model training at UE side, study the potential specification impact considering the following additional aspects.</w:t>
            </w:r>
          </w:p>
          <w:p>
            <w:pPr>
              <w:numPr>
                <w:ilvl w:val="0"/>
                <w:numId w:val="7"/>
              </w:numPr>
              <w:overflowPunct w:val="0"/>
              <w:autoSpaceDE w:val="0"/>
              <w:autoSpaceDN w:val="0"/>
              <w:adjustRightInd w:val="0"/>
              <w:spacing w:after="120"/>
              <w:contextualSpacing/>
              <w:textAlignment w:val="baseline"/>
              <w:rPr>
                <w:rFonts w:hint="default" w:ascii="Times New Roman" w:hAnsi="Times New Roman" w:eastAsia="等线"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 xml:space="preserve">Whether and how to initiate data collection </w:t>
            </w:r>
          </w:p>
          <w:p>
            <w:pPr>
              <w:numPr>
                <w:ilvl w:val="0"/>
                <w:numId w:val="7"/>
              </w:numPr>
              <w:overflowPunct w:val="0"/>
              <w:autoSpaceDE w:val="0"/>
              <w:autoSpaceDN w:val="0"/>
              <w:adjustRightInd w:val="0"/>
              <w:spacing w:after="120"/>
              <w:contextualSpacing/>
              <w:textAlignment w:val="baseline"/>
              <w:rPr>
                <w:rFonts w:hint="default" w:ascii="Times New Roman" w:hAnsi="Times New Roman" w:eastAsia="等线"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Configurations, e.g., configuration related to set A and/or Set B, information on association/mapping of Set A and Set B</w:t>
            </w:r>
          </w:p>
          <w:p>
            <w:pPr>
              <w:numPr>
                <w:ilvl w:val="0"/>
                <w:numId w:val="7"/>
              </w:numPr>
              <w:overflowPunct w:val="0"/>
              <w:autoSpaceDE w:val="0"/>
              <w:autoSpaceDN w:val="0"/>
              <w:adjustRightInd w:val="0"/>
              <w:spacing w:after="120"/>
              <w:contextualSpacing/>
              <w:textAlignment w:val="baseline"/>
              <w:rPr>
                <w:rFonts w:hint="default" w:ascii="Times New Roman" w:hAnsi="Times New Roman"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Assistance information from Network to UE (If supported)</w:t>
            </w:r>
          </w:p>
          <w:p>
            <w:pPr>
              <w:numPr>
                <w:ilvl w:val="0"/>
                <w:numId w:val="7"/>
              </w:numPr>
              <w:overflowPunct w:val="0"/>
              <w:autoSpaceDE w:val="0"/>
              <w:autoSpaceDN w:val="0"/>
              <w:adjustRightInd w:val="0"/>
              <w:spacing w:after="120"/>
              <w:contextualSpacing/>
              <w:textAlignment w:val="baseline"/>
              <w:rPr>
                <w:rFonts w:eastAsia="等线"/>
                <w:b/>
                <w:vertAlign w:val="baseline"/>
                <w:lang w:eastAsia="zh-CN"/>
              </w:rPr>
            </w:pPr>
            <w:r>
              <w:rPr>
                <w:rFonts w:hint="default" w:ascii="Times New Roman" w:hAnsi="Times New Roman" w:cs="Times New Roman"/>
                <w:b w:val="0"/>
                <w:bCs/>
                <w:i w:val="0"/>
                <w:iCs/>
                <w:sz w:val="20"/>
                <w:szCs w:val="21"/>
                <w:lang w:eastAsia="zh-CN"/>
              </w:rPr>
              <w:t>Other aspect(s) is not precluded</w:t>
            </w:r>
          </w:p>
        </w:tc>
      </w:tr>
    </w:tbl>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For the sake of simplicity, we assume that NW-sided model cannot be trained at UE side, so data collection for model training from network to UE is precluded for NW-sided model, while it can be considered for UE-sided model since the limited data in UE maybe not enough for model training.</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Data collection for NW-side model training at UE side is precluded.</w:t>
      </w:r>
    </w:p>
    <w:p>
      <w:p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Data collection from network to UE for model training at UE side for UE-sided model can be further studied.</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model training, we think that there is no strict latency requirement for data collection and data set for offline training is relatively large. The UE is not required to report the collected data (e.g. measurement results) timely, and can report long term data to the network. </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There is no strict latency requirement for data collection for offline training and data set is relatively large.</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RAN1 also agreed to study CSI compression based on the legacy CSI feedback signaling framework, and study the potential enhancements, e.g. CSI-RS configuration, CSI reporting configurations. We think SON/MDT, L3 measurement, L1 measurement (CSI reporting) and UAI can be further discussed for model training. For beam management use case, collected data can be reported by SON/MDT, L3 measurement and UAI framework. For positioning accuracy enhancement use case, SON/MDT, L3 measurement, UAI and LPP can be further discussed for model training. </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For model training,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SON/MDT,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SON/MDT, L3 measurement, UAI;</w:t>
      </w:r>
    </w:p>
    <w:p>
      <w:pPr>
        <w:spacing w:before="120" w:beforeLines="50" w:after="120" w:line="260" w:lineRule="exact"/>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positioning: LPP, SON/MDT, L3 measurement, UAI;</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3</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inference</w:t>
      </w:r>
    </w:p>
    <w:p>
      <w:pPr>
        <w:widowControl/>
        <w:spacing w:before="120" w:beforeLines="50" w:after="180"/>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model inference, we understand that the required data size maybe smaller and the latency is lower than model training. </w:t>
      </w:r>
    </w:p>
    <w:p>
      <w:pPr>
        <w:widowControl/>
        <w:spacing w:before="120" w:beforeLines="50" w:after="180"/>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CSI compression sub-use case, model inference resides at UE side for UE-part of two-side model, and model inference resides at gNB side for NW-part. For UE-part model, data collection is terminated at UE side, and for NW-part, data collection is terminated at gNB side. Considering the latency requirements, we think L1 measurement (CSI reporting) is preferred for data collection of NW-part model for model inference. Of course, other higher layer signaling can be also further discussed. </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Regarding beam management use case, for UE-sided model,</w:t>
      </w:r>
      <w:r>
        <w:rPr>
          <w:rFonts w:hint="eastAsia" w:ascii="Arial" w:hAnsi="Arial" w:cs="Arial"/>
          <w:b w:val="0"/>
          <w:bCs/>
          <w:sz w:val="20"/>
          <w:szCs w:val="20"/>
          <w:highlight w:val="none"/>
          <w:lang w:val="en-US" w:eastAsia="zh-CN"/>
        </w:rPr>
        <w:t xml:space="preserve"> the input for model inference is beam pairs in Set B which is transmitted from gNB to UE, as shown in Figure 1(b) step 1.</w:t>
      </w:r>
      <w:r>
        <w:rPr>
          <w:rFonts w:hint="eastAsia" w:ascii="Arial" w:hAnsi="Arial" w:cs="Arial"/>
          <w:b w:val="0"/>
          <w:bCs/>
          <w:sz w:val="20"/>
          <w:szCs w:val="20"/>
          <w:lang w:val="en-US" w:eastAsia="zh-CN"/>
        </w:rPr>
        <w:t xml:space="preserve"> For model inference with gNB-sided model, data collection from UE to network is needed</w:t>
      </w:r>
      <w:r>
        <w:rPr>
          <w:rFonts w:hint="eastAsia" w:ascii="Arial" w:hAnsi="Arial" w:cs="Arial"/>
          <w:b w:val="0"/>
          <w:bCs/>
          <w:sz w:val="20"/>
          <w:szCs w:val="20"/>
          <w:highlight w:val="none"/>
          <w:lang w:val="en-US" w:eastAsia="zh-CN"/>
        </w:rPr>
        <w:t>, as shown in Figure 1(a) step 2</w:t>
      </w:r>
      <w:r>
        <w:rPr>
          <w:rFonts w:hint="eastAsia" w:ascii="Arial" w:hAnsi="Arial" w:cs="Arial"/>
          <w:b w:val="0"/>
          <w:bCs/>
          <w:sz w:val="20"/>
          <w:szCs w:val="20"/>
          <w:lang w:val="en-US" w:eastAsia="zh-CN"/>
        </w:rPr>
        <w:t>. Considering the latency, L1 signaling is preferred based on RAN1 agreements. In addition, immediate MDT and L3 measurement can be further studied.</w:t>
      </w:r>
    </w:p>
    <w:tbl>
      <w:tblPr>
        <w:tblStyle w:val="14"/>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1" w:type="dxa"/>
          </w:tcPr>
          <w:p>
            <w:pPr>
              <w:shd w:val="clear" w:color="auto" w:fill="FFFFFF"/>
              <w:ind w:left="0" w:firstLine="0"/>
              <w:jc w:val="both"/>
              <w:rPr>
                <w:rFonts w:hint="default" w:ascii="Times New Roman" w:hAnsi="Times New Roman" w:eastAsia="等线" w:cs="Times New Roman"/>
                <w:b/>
                <w:bCs/>
                <w:sz w:val="20"/>
                <w:szCs w:val="18"/>
                <w:highlight w:val="green"/>
                <w:lang w:eastAsia="zh-CN"/>
              </w:rPr>
            </w:pPr>
            <w:r>
              <w:rPr>
                <w:rFonts w:hint="eastAsia" w:ascii="Times New Roman" w:hAnsi="Times New Roman" w:eastAsia="等线" w:cs="Times New Roman"/>
                <w:b/>
                <w:bCs/>
                <w:sz w:val="20"/>
                <w:szCs w:val="18"/>
                <w:highlight w:val="green"/>
                <w:lang w:val="en-US" w:eastAsia="zh-CN"/>
              </w:rPr>
              <w:t xml:space="preserve">RAN1#111 </w:t>
            </w:r>
            <w:r>
              <w:rPr>
                <w:rFonts w:hint="default" w:ascii="Times New Roman" w:hAnsi="Times New Roman" w:eastAsia="等线" w:cs="Times New Roman"/>
                <w:b/>
                <w:bCs/>
                <w:sz w:val="20"/>
                <w:szCs w:val="18"/>
                <w:highlight w:val="green"/>
                <w:lang w:eastAsia="zh-CN"/>
              </w:rPr>
              <w:t>Agreement</w:t>
            </w:r>
          </w:p>
          <w:p>
            <w:pPr>
              <w:shd w:val="clear" w:color="auto" w:fill="FFFFFF"/>
              <w:ind w:left="0" w:firstLine="0"/>
              <w:jc w:val="both"/>
              <w:rPr>
                <w:rFonts w:hint="default" w:ascii="Times New Roman" w:hAnsi="Times New Roman" w:cs="Times New Roman"/>
                <w:b w:val="0"/>
                <w:bCs w:val="0"/>
                <w:i w:val="0"/>
                <w:iCs w:val="0"/>
                <w:sz w:val="20"/>
                <w:szCs w:val="18"/>
                <w:lang w:eastAsia="zh-CN"/>
              </w:rPr>
            </w:pPr>
            <w:r>
              <w:rPr>
                <w:rFonts w:hint="default" w:ascii="Times New Roman" w:hAnsi="Times New Roman" w:cs="Times New Roman"/>
                <w:b w:val="0"/>
                <w:bCs w:val="0"/>
                <w:i w:val="0"/>
                <w:iCs w:val="0"/>
                <w:sz w:val="20"/>
                <w:szCs w:val="18"/>
                <w:lang w:eastAsia="zh-CN"/>
              </w:rPr>
              <w:t>For BM-Case1 and BM-Case2 with a network-side AI/ML model, study potential specification impact on the following L1 reporting enhancement for AI/ML model inference</w:t>
            </w:r>
          </w:p>
          <w:p>
            <w:pPr>
              <w:numPr>
                <w:ilvl w:val="0"/>
                <w:numId w:val="8"/>
              </w:numPr>
              <w:overflowPunct w:val="0"/>
              <w:autoSpaceDE w:val="0"/>
              <w:autoSpaceDN w:val="0"/>
              <w:adjustRightInd w:val="0"/>
              <w:spacing w:after="180"/>
              <w:contextualSpacing/>
              <w:textAlignment w:val="baseline"/>
              <w:rPr>
                <w:rFonts w:hint="default" w:ascii="Times New Roman" w:hAnsi="Times New Roman" w:eastAsia="宋体" w:cs="Times New Roman"/>
                <w:b w:val="0"/>
                <w:bCs w:val="0"/>
                <w:i w:val="0"/>
                <w:iCs w:val="0"/>
                <w:sz w:val="20"/>
                <w:szCs w:val="18"/>
                <w:lang w:eastAsia="zh-CN"/>
              </w:rPr>
            </w:pPr>
            <w:r>
              <w:rPr>
                <w:rFonts w:hint="default" w:ascii="Times New Roman" w:hAnsi="Times New Roman" w:eastAsia="宋体" w:cs="Times New Roman"/>
                <w:b w:val="0"/>
                <w:bCs w:val="0"/>
                <w:i w:val="0"/>
                <w:iCs w:val="0"/>
                <w:sz w:val="20"/>
                <w:szCs w:val="18"/>
                <w:lang w:eastAsia="zh-CN"/>
              </w:rPr>
              <w:t>UE to report the measurement results of more than 4 beams in one reporting instance</w:t>
            </w:r>
          </w:p>
          <w:p>
            <w:pPr>
              <w:numPr>
                <w:ilvl w:val="0"/>
                <w:numId w:val="8"/>
              </w:numPr>
              <w:overflowPunct w:val="0"/>
              <w:autoSpaceDE w:val="0"/>
              <w:autoSpaceDN w:val="0"/>
              <w:adjustRightInd w:val="0"/>
              <w:spacing w:after="180"/>
              <w:contextualSpacing/>
              <w:textAlignment w:val="baseline"/>
              <w:rPr>
                <w:rFonts w:hint="default" w:ascii="Arial" w:hAnsi="Arial" w:cs="Arial"/>
                <w:sz w:val="20"/>
                <w:szCs w:val="21"/>
                <w:vertAlign w:val="baseline"/>
                <w:lang w:val="en-US" w:eastAsia="zh-CN"/>
              </w:rPr>
            </w:pPr>
            <w:r>
              <w:rPr>
                <w:rFonts w:hint="default" w:ascii="Times New Roman" w:hAnsi="Times New Roman" w:eastAsia="宋体" w:cs="Times New Roman"/>
                <w:b w:val="0"/>
                <w:bCs w:val="0"/>
                <w:i w:val="0"/>
                <w:iCs w:val="0"/>
                <w:sz w:val="20"/>
                <w:szCs w:val="18"/>
                <w:lang w:eastAsia="zh-CN"/>
              </w:rPr>
              <w:t>Other L1 reporting enhancements can be considered</w:t>
            </w:r>
          </w:p>
        </w:tc>
      </w:tr>
    </w:tbl>
    <w:p>
      <w:pPr>
        <w:jc w:val="center"/>
        <w:rPr>
          <w:lang w:eastAsia="zh-CN"/>
        </w:rPr>
      </w:pPr>
      <w:r>
        <w:rPr>
          <w:lang w:val="en-US" w:eastAsia="zh-CN"/>
        </w:rPr>
        <w:drawing>
          <wp:inline distT="0" distB="0" distL="0" distR="0">
            <wp:extent cx="2557145" cy="2285365"/>
            <wp:effectExtent l="0" t="0" r="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
                    <a:srcRect/>
                    <a:stretch>
                      <a:fillRect/>
                    </a:stretch>
                  </pic:blipFill>
                  <pic:spPr>
                    <a:xfrm>
                      <a:off x="0" y="0"/>
                      <a:ext cx="2557097" cy="2285455"/>
                    </a:xfrm>
                    <a:prstGeom prst="rect">
                      <a:avLst/>
                    </a:prstGeom>
                    <a:noFill/>
                  </pic:spPr>
                </pic:pic>
              </a:graphicData>
            </a:graphic>
          </wp:inline>
        </w:drawing>
      </w:r>
      <w:r>
        <w:rPr>
          <w:rFonts w:hint="eastAsia"/>
          <w:lang w:val="en-US" w:eastAsia="zh-CN"/>
        </w:rPr>
        <w:t xml:space="preserve">     </w:t>
      </w:r>
      <w:r>
        <w:rPr>
          <w:lang w:val="en-US" w:eastAsia="zh-CN"/>
        </w:rPr>
        <w:drawing>
          <wp:inline distT="0" distB="0" distL="0" distR="0">
            <wp:extent cx="2291715" cy="2283460"/>
            <wp:effectExtent l="0" t="0" r="3810" b="25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5"/>
                    <a:srcRect/>
                    <a:stretch>
                      <a:fillRect/>
                    </a:stretch>
                  </pic:blipFill>
                  <pic:spPr>
                    <a:xfrm>
                      <a:off x="0" y="0"/>
                      <a:ext cx="2290899" cy="2282200"/>
                    </a:xfrm>
                    <a:prstGeom prst="rect">
                      <a:avLst/>
                    </a:prstGeom>
                    <a:noFill/>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center"/>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(a) </w:t>
      </w:r>
      <w:r>
        <w:rPr>
          <w:rFonts w:hint="default" w:ascii="Arial" w:hAnsi="Arial" w:cs="Arial"/>
          <w:sz w:val="20"/>
          <w:szCs w:val="21"/>
          <w:lang w:val="en-US" w:eastAsia="zh-CN"/>
        </w:rPr>
        <w:t>model inference</w:t>
      </w:r>
      <w:r>
        <w:rPr>
          <w:rFonts w:hint="default" w:ascii="Arial" w:hAnsi="Arial" w:cs="Arial"/>
          <w:sz w:val="20"/>
          <w:szCs w:val="21"/>
          <w:lang w:eastAsia="zh-CN"/>
        </w:rPr>
        <w:t xml:space="preserve"> at NW side</w:t>
      </w:r>
      <w:r>
        <w:rPr>
          <w:rFonts w:hint="default" w:ascii="Arial" w:hAnsi="Arial" w:cs="Arial"/>
          <w:sz w:val="20"/>
          <w:szCs w:val="21"/>
          <w:lang w:val="en-US" w:eastAsia="zh-CN"/>
        </w:rPr>
        <w:t xml:space="preserve">               </w:t>
      </w:r>
      <w:r>
        <w:rPr>
          <w:rFonts w:hint="eastAsia" w:ascii="Arial" w:hAnsi="Arial" w:cs="Arial"/>
          <w:sz w:val="20"/>
          <w:szCs w:val="21"/>
          <w:lang w:val="en-US" w:eastAsia="zh-CN"/>
        </w:rPr>
        <w:t>(</w:t>
      </w:r>
      <w:r>
        <w:rPr>
          <w:rFonts w:hint="default" w:ascii="Arial" w:hAnsi="Arial" w:cs="Arial"/>
          <w:sz w:val="20"/>
          <w:szCs w:val="21"/>
          <w:lang w:val="en-US" w:eastAsia="zh-CN"/>
        </w:rPr>
        <w:t>b) model inference at UE side</w:t>
      </w:r>
    </w:p>
    <w:p>
      <w:pPr>
        <w:widowControl/>
        <w:spacing w:before="120" w:beforeLines="50" w:after="180"/>
        <w:jc w:val="center"/>
        <w:rPr>
          <w:rFonts w:hint="default" w:ascii="Arial" w:hAnsi="Arial" w:cs="Arial"/>
          <w:sz w:val="18"/>
          <w:szCs w:val="20"/>
          <w:lang w:val="en-US" w:eastAsia="zh-CN"/>
        </w:rPr>
      </w:pPr>
      <w:r>
        <w:rPr>
          <w:rFonts w:hint="default" w:ascii="Arial" w:hAnsi="Arial" w:cs="Arial"/>
          <w:sz w:val="18"/>
          <w:szCs w:val="20"/>
          <w:lang w:val="en-US" w:eastAsia="zh-CN"/>
        </w:rPr>
        <w:t>Figure 1</w:t>
      </w:r>
      <w:r>
        <w:rPr>
          <w:rFonts w:hint="eastAsia" w:ascii="Arial" w:hAnsi="Arial" w:cs="Arial"/>
          <w:sz w:val="18"/>
          <w:szCs w:val="20"/>
          <w:lang w:val="en-US" w:eastAsia="zh-CN"/>
        </w:rPr>
        <w:t>.</w:t>
      </w:r>
      <w:r>
        <w:rPr>
          <w:rFonts w:hint="default" w:ascii="Arial" w:hAnsi="Arial" w:cs="Arial"/>
          <w:sz w:val="18"/>
          <w:szCs w:val="20"/>
          <w:lang w:val="en-US" w:eastAsia="zh-CN"/>
        </w:rPr>
        <w:t xml:space="preserve"> </w:t>
      </w:r>
      <w:r>
        <w:rPr>
          <w:rFonts w:hint="eastAsia" w:ascii="Arial" w:hAnsi="Arial" w:cs="Arial"/>
          <w:sz w:val="18"/>
          <w:szCs w:val="20"/>
          <w:lang w:val="en-US" w:eastAsia="zh-CN"/>
        </w:rPr>
        <w:t xml:space="preserve">Basic flow for </w:t>
      </w:r>
      <w:r>
        <w:rPr>
          <w:rFonts w:hint="default" w:ascii="Arial" w:hAnsi="Arial" w:cs="Arial"/>
          <w:sz w:val="18"/>
          <w:szCs w:val="20"/>
          <w:lang w:val="en-US" w:eastAsia="zh-CN"/>
        </w:rPr>
        <w:t>BM-Case 1</w:t>
      </w:r>
      <w:r>
        <w:rPr>
          <w:rFonts w:hint="eastAsia" w:ascii="Arial" w:hAnsi="Arial" w:cs="Arial"/>
          <w:sz w:val="18"/>
          <w:szCs w:val="20"/>
          <w:lang w:val="en-US" w:eastAsia="zh-CN"/>
        </w:rPr>
        <w:t xml:space="preserve"> [5]</w:t>
      </w:r>
    </w:p>
    <w:p>
      <w:pPr>
        <w:widowControl/>
        <w:spacing w:before="120" w:beforeLines="50" w:after="180"/>
        <w:rPr>
          <w:rFonts w:hint="default" w:ascii="Arial" w:hAnsi="Arial" w:cs="Arial"/>
          <w:b w:val="0"/>
          <w:bCs/>
          <w:sz w:val="20"/>
          <w:szCs w:val="20"/>
          <w:lang w:val="en-US" w:eastAsia="zh-CN"/>
        </w:rPr>
      </w:pPr>
      <w:r>
        <w:rPr>
          <w:rFonts w:hint="eastAsia" w:ascii="Arial" w:hAnsi="Arial" w:cs="Arial"/>
          <w:b w:val="0"/>
          <w:bCs/>
          <w:sz w:val="20"/>
          <w:szCs w:val="20"/>
          <w:lang w:val="en-US" w:eastAsia="zh-CN"/>
        </w:rPr>
        <w:t>Regarding positioning accuracy enhancement use case, data collection for model inference via LPP is preferred for case 1, 2a and 2b with UE-side model or LMF-side model. For data collection for</w:t>
      </w:r>
      <w:r>
        <w:rPr>
          <w:rFonts w:hint="eastAsia" w:ascii="Arial" w:hAnsi="Arial" w:cs="Arial"/>
          <w:b w:val="0"/>
          <w:bCs/>
          <w:sz w:val="20"/>
          <w:szCs w:val="20"/>
          <w:highlight w:val="none"/>
          <w:lang w:val="en-US" w:eastAsia="zh-CN"/>
        </w:rPr>
        <w:t xml:space="preserve"> model inference with gNB-side model</w:t>
      </w:r>
      <w:r>
        <w:rPr>
          <w:rFonts w:hint="eastAsia" w:ascii="Arial" w:hAnsi="Arial" w:cs="Arial"/>
          <w:b w:val="0"/>
          <w:bCs/>
          <w:sz w:val="20"/>
          <w:szCs w:val="20"/>
          <w:lang w:val="en-US" w:eastAsia="zh-CN"/>
        </w:rPr>
        <w:t>, TRP collects the data for model inference based on RAN1 agreements. For case 3b with LMF-side model, data collection for model inference from TRP to LMF via NRPPa is needed, but it is not in the scope of RAN2.</w:t>
      </w:r>
    </w:p>
    <w:tbl>
      <w:tblPr>
        <w:tblStyle w:val="1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1" w:type="dxa"/>
          </w:tcPr>
          <w:p>
            <w:pPr>
              <w:ind w:left="0" w:firstLine="0"/>
              <w:rPr>
                <w:rFonts w:hint="default" w:ascii="Times New Roman" w:hAnsi="Times New Roman" w:eastAsia="等线" w:cs="Times New Roman"/>
                <w:b/>
                <w:bCs/>
                <w:sz w:val="20"/>
                <w:szCs w:val="21"/>
                <w:highlight w:val="green"/>
                <w:lang w:eastAsia="zh-CN"/>
              </w:rPr>
            </w:pPr>
            <w:r>
              <w:rPr>
                <w:rFonts w:hint="eastAsia" w:ascii="Times New Roman" w:hAnsi="Times New Roman" w:eastAsia="等线" w:cs="Times New Roman"/>
                <w:b/>
                <w:bCs/>
                <w:sz w:val="20"/>
                <w:szCs w:val="21"/>
                <w:highlight w:val="green"/>
                <w:lang w:val="en-US" w:eastAsia="zh-CN"/>
              </w:rPr>
              <w:t xml:space="preserve">RAN1#111 </w:t>
            </w:r>
            <w:r>
              <w:rPr>
                <w:rFonts w:hint="default" w:ascii="Times New Roman" w:hAnsi="Times New Roman" w:eastAsia="等线"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Regarding AI/ML </w:t>
            </w:r>
            <w:r>
              <w:rPr>
                <w:rFonts w:hint="default" w:ascii="Times New Roman" w:hAnsi="Times New Roman" w:cs="Times New Roman"/>
                <w:sz w:val="20"/>
                <w:szCs w:val="21"/>
                <w:highlight w:val="yellow"/>
                <w:lang w:eastAsia="zh-CN"/>
              </w:rPr>
              <w:t>model inference</w:t>
            </w:r>
            <w:r>
              <w:rPr>
                <w:rFonts w:hint="default" w:ascii="Times New Roman" w:hAnsi="Times New Roman" w:cs="Times New Roman"/>
                <w:sz w:val="20"/>
                <w:szCs w:val="21"/>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pPr>
              <w:numPr>
                <w:ilvl w:val="0"/>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Types of measurement as model inference input</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new measurement</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existing measurement</w:t>
            </w:r>
          </w:p>
          <w:p>
            <w:pPr>
              <w:numPr>
                <w:ilvl w:val="0"/>
                <w:numId w:val="9"/>
              </w:numPr>
              <w:rPr>
                <w:rFonts w:hint="default" w:ascii="Times New Roman" w:hAnsi="Times New Roman" w:cs="Times New Roman"/>
                <w:color w:val="C00000"/>
                <w:sz w:val="20"/>
                <w:szCs w:val="18"/>
                <w:highlight w:val="none"/>
                <w:lang w:eastAsia="zh-CN"/>
              </w:rPr>
            </w:pPr>
            <w:r>
              <w:rPr>
                <w:rFonts w:hint="default" w:ascii="Times New Roman" w:hAnsi="Times New Roman" w:cs="Times New Roman"/>
                <w:color w:val="C00000"/>
                <w:sz w:val="20"/>
                <w:szCs w:val="18"/>
                <w:highlight w:val="none"/>
                <w:lang w:eastAsia="zh-CN"/>
              </w:rPr>
              <w:t>UE is assumed to perform measurement as model inference input for Case 1, Case 2a and Case 2b; TRP is assumed to perform measurement as model inference input for Case 3a and Case 3b</w:t>
            </w:r>
          </w:p>
          <w:p>
            <w:pPr>
              <w:numPr>
                <w:ilvl w:val="1"/>
                <w:numId w:val="9"/>
              </w:numPr>
              <w:rPr>
                <w:rFonts w:hint="default" w:ascii="Times New Roman" w:hAnsi="Times New Roman" w:cs="Times New Roman"/>
                <w:color w:val="C00000"/>
                <w:sz w:val="20"/>
                <w:szCs w:val="18"/>
                <w:highlight w:val="none"/>
                <w:lang w:eastAsia="zh-CN"/>
              </w:rPr>
            </w:pPr>
            <w:r>
              <w:rPr>
                <w:rFonts w:hint="default" w:ascii="Times New Roman" w:hAnsi="Times New Roman" w:cs="Times New Roman"/>
                <w:color w:val="C00000"/>
                <w:sz w:val="20"/>
                <w:szCs w:val="18"/>
                <w:highlight w:val="none"/>
                <w:lang w:eastAsia="zh-CN"/>
              </w:rPr>
              <w:t>Report of measurements as model inference input to LMF for LMF-side model (Case 2b and Case 3b)</w:t>
            </w:r>
          </w:p>
          <w:p>
            <w:pPr>
              <w:numPr>
                <w:ilvl w:val="0"/>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For AI/ML assisted positioning, new measurement report and/or potential enhancement of existing measurement report as model output to LMF for UE-assisted (Case 2a) and NG-RAN node assisted positioning (Case 3a)</w:t>
            </w:r>
          </w:p>
          <w:p>
            <w:pPr>
              <w:numPr>
                <w:ilvl w:val="0"/>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Assistance signaling and procedure to facilitate model inference for both UE-side and Network-side model</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New and/or enhancement to existing assistance signaling</w:t>
            </w:r>
          </w:p>
          <w:p>
            <w:pPr>
              <w:numPr>
                <w:ilvl w:val="1"/>
                <w:numId w:val="9"/>
              </w:numPr>
              <w:rPr>
                <w:rFonts w:hint="default" w:ascii="Arial" w:hAnsi="Arial" w:cs="Arial"/>
                <w:b w:val="0"/>
                <w:bCs/>
                <w:sz w:val="20"/>
                <w:szCs w:val="20"/>
                <w:vertAlign w:val="baseline"/>
                <w:lang w:val="en-US" w:eastAsia="zh-CN"/>
              </w:rPr>
            </w:pPr>
            <w:r>
              <w:rPr>
                <w:rFonts w:hint="default" w:ascii="Times New Roman" w:hAnsi="Times New Roman" w:cs="Times New Roman"/>
                <w:sz w:val="20"/>
                <w:szCs w:val="18"/>
                <w:lang w:eastAsia="zh-CN"/>
              </w:rPr>
              <w:t>Note: whether such assistance signaling and procedure can be applied to other aspect(s) of AI/ML model LCM can also be discussed</w:t>
            </w:r>
          </w:p>
        </w:tc>
      </w:tr>
    </w:tbl>
    <w:p>
      <w:pPr>
        <w:ind w:firstLine="315" w:firstLineChars="150"/>
        <w:jc w:val="center"/>
      </w:pPr>
      <w:r>
        <w:drawing>
          <wp:inline distT="0" distB="0" distL="114300" distR="114300">
            <wp:extent cx="2214880" cy="2054860"/>
            <wp:effectExtent l="0" t="0" r="4445"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214880" cy="2054860"/>
                    </a:xfrm>
                    <a:prstGeom prst="rect">
                      <a:avLst/>
                    </a:prstGeom>
                    <a:noFill/>
                    <a:ln>
                      <a:noFill/>
                    </a:ln>
                  </pic:spPr>
                </pic:pic>
              </a:graphicData>
            </a:graphic>
          </wp:inline>
        </w:drawing>
      </w:r>
      <w:r>
        <w:t xml:space="preserve">        </w:t>
      </w:r>
      <w:r>
        <w:drawing>
          <wp:inline distT="0" distB="0" distL="114300" distR="114300">
            <wp:extent cx="2406650" cy="2036445"/>
            <wp:effectExtent l="0" t="0" r="3175"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2406650" cy="2036445"/>
                    </a:xfrm>
                    <a:prstGeom prst="rect">
                      <a:avLst/>
                    </a:prstGeom>
                    <a:noFill/>
                    <a:ln>
                      <a:noFill/>
                    </a:ln>
                  </pic:spPr>
                </pic:pic>
              </a:graphicData>
            </a:graphic>
          </wp:inline>
        </w:drawing>
      </w:r>
    </w:p>
    <w:p>
      <w:pPr>
        <w:numPr>
          <w:ilvl w:val="0"/>
          <w:numId w:val="0"/>
        </w:numPr>
        <w:jc w:val="center"/>
        <w:rPr>
          <w:rFonts w:ascii="Times New Roman" w:hAnsi="Times New Roman"/>
          <w:sz w:val="20"/>
          <w:szCs w:val="20"/>
        </w:rPr>
      </w:pPr>
      <w:r>
        <w:rPr>
          <w:rFonts w:hint="eastAsia" w:ascii="Arial" w:hAnsi="Arial" w:cs="Arial"/>
          <w:sz w:val="20"/>
          <w:szCs w:val="21"/>
          <w:lang w:val="en-US" w:eastAsia="zh-CN"/>
        </w:rPr>
        <w:t xml:space="preserve">(a) </w:t>
      </w:r>
      <w:r>
        <w:rPr>
          <w:rFonts w:hint="default" w:ascii="Arial" w:hAnsi="Arial" w:cs="Arial"/>
          <w:sz w:val="20"/>
          <w:szCs w:val="21"/>
          <w:lang w:val="en-US" w:eastAsia="zh-CN"/>
        </w:rPr>
        <w:t xml:space="preserve">Model inference at LMF </w:t>
      </w:r>
      <w:r>
        <w:rPr>
          <w:rFonts w:hint="eastAsia" w:ascii="Times New Roman" w:hAnsi="Times New Roman"/>
          <w:sz w:val="20"/>
          <w:szCs w:val="20"/>
          <w:lang w:val="en-US" w:eastAsia="zh-CN"/>
        </w:rPr>
        <w:t xml:space="preserve"> </w:t>
      </w:r>
      <w:r>
        <w:rPr>
          <w:rFonts w:ascii="Times New Roman" w:hAnsi="Times New Roman"/>
          <w:sz w:val="20"/>
          <w:szCs w:val="20"/>
        </w:rPr>
        <w:t xml:space="preserve">             </w:t>
      </w:r>
      <w:r>
        <w:rPr>
          <w:rFonts w:hint="eastAsia" w:ascii="Times New Roman" w:hAnsi="Times New Roman"/>
          <w:sz w:val="20"/>
          <w:szCs w:val="20"/>
          <w:lang w:val="en-US" w:eastAsia="zh-CN"/>
        </w:rPr>
        <w:t xml:space="preserve"> </w:t>
      </w:r>
      <w:r>
        <w:rPr>
          <w:rFonts w:hint="default" w:ascii="Arial" w:hAnsi="Arial" w:cs="Arial"/>
          <w:sz w:val="20"/>
          <w:szCs w:val="21"/>
          <w:lang w:val="en-US" w:eastAsia="zh-CN"/>
        </w:rPr>
        <w:t xml:space="preserve"> </w:t>
      </w:r>
      <w:r>
        <w:rPr>
          <w:rFonts w:hint="eastAsia" w:ascii="Arial" w:hAnsi="Arial" w:cs="Arial"/>
          <w:sz w:val="20"/>
          <w:szCs w:val="21"/>
          <w:lang w:val="en-US" w:eastAsia="zh-CN"/>
        </w:rPr>
        <w:t>(b) M</w:t>
      </w:r>
      <w:r>
        <w:rPr>
          <w:rFonts w:hint="default" w:ascii="Arial" w:hAnsi="Arial" w:cs="Arial"/>
          <w:sz w:val="20"/>
          <w:szCs w:val="21"/>
          <w:lang w:val="en-US" w:eastAsia="zh-CN"/>
        </w:rPr>
        <w:t>odel inference at UE</w:t>
      </w:r>
    </w:p>
    <w:p>
      <w:pPr>
        <w:widowControl/>
        <w:spacing w:before="120" w:beforeLines="50" w:after="180"/>
        <w:jc w:val="center"/>
        <w:rPr>
          <w:rFonts w:hint="default" w:ascii="Arial" w:hAnsi="Arial" w:cs="Arial"/>
          <w:sz w:val="18"/>
          <w:szCs w:val="20"/>
          <w:lang w:val="en-US" w:eastAsia="zh-CN"/>
        </w:rPr>
      </w:pPr>
      <w:r>
        <w:rPr>
          <w:rFonts w:hint="eastAsia" w:ascii="Arial" w:hAnsi="Arial" w:cs="Arial"/>
          <w:sz w:val="18"/>
          <w:szCs w:val="20"/>
          <w:lang w:val="en-US" w:eastAsia="zh-CN"/>
        </w:rPr>
        <w:t>Figure 2. Basic flow for positioning [6]</w:t>
      </w:r>
    </w:p>
    <w:p>
      <w:pPr>
        <w:widowControl/>
        <w:spacing w:before="120" w:beforeLines="50" w:after="180"/>
        <w:rPr>
          <w:rFonts w:hint="default" w:ascii="Arial" w:hAnsi="Arial" w:cs="Arial"/>
          <w:sz w:val="20"/>
          <w:szCs w:val="21"/>
          <w:lang w:val="en-US" w:eastAsia="zh-CN"/>
        </w:rPr>
      </w:pPr>
      <w:r>
        <w:rPr>
          <w:rFonts w:hint="eastAsia" w:ascii="Arial" w:hAnsi="Arial" w:cs="Arial"/>
          <w:sz w:val="20"/>
          <w:szCs w:val="21"/>
          <w:lang w:val="en-US" w:eastAsia="zh-CN"/>
        </w:rPr>
        <w:t>Based on the above analysis, we propose to further study the following data collection frameworks per use case for model inference. T</w:t>
      </w:r>
      <w:r>
        <w:rPr>
          <w:rFonts w:hint="eastAsia" w:ascii="Arial" w:hAnsi="Arial" w:cs="Arial"/>
          <w:b w:val="0"/>
          <w:bCs/>
          <w:sz w:val="20"/>
          <w:szCs w:val="20"/>
          <w:lang w:val="en-US" w:eastAsia="zh-CN"/>
        </w:rPr>
        <w:t>he specific framework for each use case should be further discussed and decided after RAN1 has efficient progress.</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For model inference,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CSI reporting, immediate MDT,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immediate MDT, UAI;</w:t>
      </w:r>
    </w:p>
    <w:p>
      <w:pPr>
        <w:spacing w:before="120" w:beforeLines="50" w:after="120" w:line="260" w:lineRule="exact"/>
        <w:ind w:firstLine="420" w:firstLineChars="0"/>
        <w:rPr>
          <w:rFonts w:hint="default" w:ascii="Arial" w:hAnsi="Arial" w:cs="Arial"/>
          <w:sz w:val="20"/>
          <w:szCs w:val="21"/>
          <w:lang w:val="en-US" w:eastAsia="zh-CN"/>
        </w:rPr>
      </w:pPr>
      <w:r>
        <w:rPr>
          <w:rFonts w:hint="eastAsia" w:ascii="Arial" w:hAnsi="Arial" w:eastAsia="宋体" w:cs="Arial"/>
          <w:b/>
          <w:bCs/>
          <w:kern w:val="0"/>
          <w:sz w:val="20"/>
          <w:szCs w:val="20"/>
          <w:lang w:val="en-US" w:eastAsia="zh-CN"/>
        </w:rPr>
        <w:t>- For positioning: LPP, immediate MDT, L3 measurement, UAI;</w:t>
      </w:r>
    </w:p>
    <w:p>
      <w:pPr>
        <w:widowControl/>
        <w:spacing w:before="120" w:beforeLines="50" w:after="180"/>
        <w:rPr>
          <w:rFonts w:hint="default" w:ascii="Arial" w:hAnsi="Arial" w:cs="Arial"/>
          <w:sz w:val="20"/>
          <w:szCs w:val="21"/>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4</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monitoring</w:t>
      </w:r>
    </w:p>
    <w:p>
      <w:pPr>
        <w:pStyle w:val="8"/>
        <w:rPr>
          <w:rFonts w:hint="default" w:ascii="Arial" w:hAnsi="Arial" w:eastAsia="等线" w:cs="Arial"/>
          <w:sz w:val="20"/>
          <w:szCs w:val="21"/>
          <w:lang w:val="en-US" w:eastAsia="zh-CN"/>
        </w:rPr>
      </w:pPr>
      <w:r>
        <w:rPr>
          <w:rFonts w:hint="eastAsia" w:ascii="Arial" w:hAnsi="Arial" w:cs="Arial"/>
          <w:b w:val="0"/>
          <w:bCs/>
          <w:sz w:val="20"/>
          <w:szCs w:val="20"/>
          <w:lang w:val="en-US" w:eastAsia="zh-CN"/>
        </w:rPr>
        <w:t>For model monitoring, we understand the latency is not a key requirement since it usually needs some time to evaluate model/system performance, e.g. calculate different KPIs for each use case. The details of performance metrics per use case are still under RAN1 discussion. W</w:t>
      </w:r>
      <w:r>
        <w:rPr>
          <w:rFonts w:hint="eastAsia" w:ascii="Arial" w:hAnsi="Arial" w:eastAsia="等线" w:cs="Arial"/>
          <w:sz w:val="20"/>
          <w:szCs w:val="21"/>
          <w:lang w:val="en-US" w:eastAsia="zh-CN"/>
        </w:rPr>
        <w:t>e think the potential data collection frameworks can be further studied based on RAN1 progress on performance metrics.</w:t>
      </w:r>
    </w:p>
    <w:p>
      <w:pPr>
        <w:pStyle w:val="8"/>
        <w:rPr>
          <w:rFonts w:hint="default" w:ascii="Arial" w:hAnsi="Arial" w:eastAsia="等线" w:cs="Arial"/>
          <w:sz w:val="20"/>
          <w:szCs w:val="21"/>
          <w:lang w:val="en-US" w:eastAsia="zh-CN"/>
        </w:rPr>
      </w:pPr>
      <w:r>
        <w:rPr>
          <w:rFonts w:hint="eastAsia" w:ascii="Arial" w:hAnsi="Arial" w:eastAsia="等线" w:cs="Arial"/>
          <w:sz w:val="20"/>
          <w:szCs w:val="21"/>
          <w:lang w:val="en-US" w:eastAsia="zh-CN"/>
        </w:rPr>
        <w:t>Regarding CSI compression with two-sided model, the network monitors the performance of NW-side model, the UE monitors the performance of UE-side model and reports to the network. For the moment, the existing frameworks in connected state can be further studied.</w:t>
      </w:r>
    </w:p>
    <w:tbl>
      <w:tblPr>
        <w:tblStyle w:val="1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w:t>
            </w:r>
            <w:r>
              <w:rPr>
                <w:rFonts w:hint="eastAsia" w:ascii="Times New Roman" w:hAnsi="Times New Roman" w:cs="Times New Roman"/>
                <w:sz w:val="20"/>
                <w:szCs w:val="20"/>
                <w:highlight w:val="green"/>
                <w:lang w:val="en-US" w:eastAsia="zh-CN"/>
              </w:rPr>
              <w:t>0bis</w:t>
            </w:r>
            <w:r>
              <w:rPr>
                <w:rFonts w:hint="default" w:ascii="Times New Roman" w:hAnsi="Times New Roman" w:cs="Times New Roman"/>
                <w:sz w:val="20"/>
                <w:szCs w:val="20"/>
                <w:highlight w:val="green"/>
                <w:lang w:val="en-US" w:eastAsia="zh-CN"/>
              </w:rPr>
              <w:t xml:space="preserve"> </w:t>
            </w:r>
            <w:r>
              <w:rPr>
                <w:rFonts w:hint="eastAsia" w:ascii="Times New Roman" w:hAnsi="Times New Roman" w:cs="Times New Roman"/>
                <w:sz w:val="20"/>
                <w:szCs w:val="20"/>
                <w:highlight w:val="green"/>
                <w:lang w:val="en-US" w:eastAsia="zh-CN"/>
              </w:rPr>
              <w:t>Agreement</w:t>
            </w:r>
          </w:p>
          <w:p>
            <w:pPr>
              <w:keepNext w:val="0"/>
              <w:keepLines w:val="0"/>
              <w:pageBreakBefore w:val="0"/>
              <w:widowControl w:val="0"/>
              <w:numPr>
                <w:ilvl w:val="0"/>
                <w:numId w:val="10"/>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NW-side performance monitoring: NW monitors the performance and make decisions of model activation/ deactivation/updating/switching    </w:t>
            </w:r>
          </w:p>
          <w:p>
            <w:pPr>
              <w:keepNext w:val="0"/>
              <w:keepLines w:val="0"/>
              <w:pageBreakBefore w:val="0"/>
              <w:widowControl w:val="0"/>
              <w:numPr>
                <w:ilvl w:val="0"/>
                <w:numId w:val="10"/>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eastAsia" w:ascii="Arial" w:hAnsi="Arial" w:eastAsia="等线" w:cs="Arial"/>
                <w:sz w:val="20"/>
                <w:szCs w:val="21"/>
                <w:vertAlign w:val="baseline"/>
                <w:lang w:val="en-US" w:eastAsia="zh-CN"/>
              </w:rPr>
            </w:pPr>
            <w:r>
              <w:rPr>
                <w:rFonts w:hint="default" w:ascii="Times New Roman" w:hAnsi="Times New Roman" w:cs="Times New Roman"/>
                <w:i w:val="0"/>
                <w:iCs w:val="0"/>
                <w:sz w:val="20"/>
                <w:szCs w:val="18"/>
              </w:rPr>
              <w:t xml:space="preserve">UE-side performance monitoring: UE monitors the performance and reports to Network, NW makes decisions of model activation/ deactivation/updating/switching </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w:t>
            </w:r>
            <w:r>
              <w:rPr>
                <w:rFonts w:hint="eastAsia" w:ascii="Times New Roman" w:hAnsi="Times New Roman" w:cs="Times New Roman"/>
                <w:sz w:val="20"/>
                <w:szCs w:val="20"/>
                <w:highlight w:val="green"/>
                <w:lang w:val="en-US" w:eastAsia="zh-CN"/>
              </w:rPr>
              <w:t>2bis-e</w:t>
            </w:r>
            <w:r>
              <w:rPr>
                <w:rFonts w:hint="default" w:ascii="Times New Roman" w:hAnsi="Times New Roman" w:cs="Times New Roman"/>
                <w:sz w:val="20"/>
                <w:szCs w:val="20"/>
                <w:highlight w:val="green"/>
                <w:lang w:val="en-US" w:eastAsia="zh-CN"/>
              </w:rPr>
              <w:t xml:space="preserve"> </w:t>
            </w:r>
            <w:r>
              <w:rPr>
                <w:rFonts w:hint="eastAsia" w:ascii="Times New Roman" w:hAnsi="Times New Roman" w:cs="Times New Roman"/>
                <w:sz w:val="20"/>
                <w:szCs w:val="20"/>
                <w:highlight w:val="green"/>
                <w:lang w:val="en-US" w:eastAsia="zh-CN"/>
              </w:rPr>
              <w:t>A</w:t>
            </w:r>
            <w:r>
              <w:rPr>
                <w:rFonts w:hint="default" w:ascii="Times New Roman" w:hAnsi="Times New Roman" w:cs="Times New Roman"/>
                <w:sz w:val="20"/>
                <w:szCs w:val="20"/>
                <w:highlight w:val="green"/>
                <w:lang w:val="en-US" w:eastAsia="zh-CN"/>
              </w:rPr>
              <w:t>greement</w:t>
            </w:r>
          </w:p>
          <w:p>
            <w:pPr>
              <w:ind w:left="0" w:firstLine="0"/>
              <w:jc w:val="both"/>
              <w:rPr>
                <w:rFonts w:hint="default" w:ascii="Times New Roman" w:hAnsi="Times New Roman" w:eastAsia="Malgun Gothic" w:cs="Times New Roman"/>
                <w:b w:val="0"/>
                <w:bCs w:val="0"/>
                <w:i w:val="0"/>
                <w:iCs w:val="0"/>
                <w:sz w:val="20"/>
                <w:szCs w:val="18"/>
              </w:rPr>
            </w:pPr>
            <w:r>
              <w:rPr>
                <w:rFonts w:hint="default" w:ascii="Times New Roman" w:hAnsi="Times New Roman" w:eastAsia="Malgun Gothic" w:cs="Times New Roman"/>
                <w:b w:val="0"/>
                <w:bCs w:val="0"/>
                <w:i w:val="0"/>
                <w:iCs w:val="0"/>
                <w:sz w:val="20"/>
                <w:szCs w:val="18"/>
              </w:rPr>
              <w:t xml:space="preserve">In CSI compression using two-sided model use case, for NW-side monitoring, further study the </w:t>
            </w:r>
            <w:r>
              <w:rPr>
                <w:rFonts w:hint="default" w:ascii="Times New Roman" w:hAnsi="Times New Roman" w:eastAsia="等线" w:cs="Times New Roman"/>
                <w:b w:val="0"/>
                <w:bCs w:val="0"/>
                <w:i w:val="0"/>
                <w:iCs w:val="0"/>
                <w:sz w:val="20"/>
                <w:szCs w:val="18"/>
              </w:rPr>
              <w:t xml:space="preserve">necessity, </w:t>
            </w:r>
            <w:r>
              <w:rPr>
                <w:rFonts w:hint="default" w:ascii="Times New Roman" w:hAnsi="Times New Roman" w:eastAsia="Malgun Gothic" w:cs="Times New Roman"/>
                <w:b w:val="0"/>
                <w:bCs w:val="0"/>
                <w:i w:val="0"/>
                <w:iCs w:val="0"/>
                <w:sz w:val="20"/>
                <w:szCs w:val="18"/>
              </w:rPr>
              <w:t>feasibility</w:t>
            </w:r>
            <w:r>
              <w:rPr>
                <w:rFonts w:hint="default" w:ascii="Times New Roman" w:hAnsi="Times New Roman" w:eastAsia="Malgun Gothic" w:cs="Times New Roman"/>
                <w:b w:val="0"/>
                <w:bCs w:val="0"/>
                <w:i w:val="0"/>
                <w:iCs w:val="0"/>
                <w:color w:val="000000"/>
                <w:sz w:val="20"/>
                <w:szCs w:val="18"/>
              </w:rPr>
              <w:t xml:space="preserve"> and </w:t>
            </w:r>
            <w:r>
              <w:rPr>
                <w:rFonts w:hint="default" w:ascii="Times New Roman" w:hAnsi="Times New Roman" w:eastAsia="Malgun Gothic" w:cs="Times New Roman"/>
                <w:b w:val="0"/>
                <w:bCs w:val="0"/>
                <w:i w:val="0"/>
                <w:iCs w:val="0"/>
                <w:sz w:val="20"/>
                <w:szCs w:val="18"/>
              </w:rPr>
              <w:t xml:space="preserve">potential specification impact to enable performance monitoring using an </w:t>
            </w:r>
            <w:r>
              <w:rPr>
                <w:rFonts w:hint="default" w:ascii="Times New Roman" w:hAnsi="Times New Roman" w:eastAsia="Malgun Gothic" w:cs="Times New Roman"/>
                <w:b w:val="0"/>
                <w:bCs w:val="0"/>
                <w:i w:val="0"/>
                <w:iCs w:val="0"/>
                <w:sz w:val="20"/>
                <w:szCs w:val="18"/>
                <w:highlight w:val="none"/>
              </w:rPr>
              <w:t>existing CSI feedback scheme</w:t>
            </w:r>
            <w:r>
              <w:rPr>
                <w:rFonts w:hint="default" w:ascii="Times New Roman" w:hAnsi="Times New Roman" w:eastAsia="Malgun Gothic" w:cs="Times New Roman"/>
                <w:b w:val="0"/>
                <w:bCs w:val="0"/>
                <w:i w:val="0"/>
                <w:iCs w:val="0"/>
                <w:sz w:val="20"/>
                <w:szCs w:val="18"/>
              </w:rPr>
              <w:t xml:space="preserve"> as the reference.</w:t>
            </w:r>
          </w:p>
          <w:p>
            <w:pPr>
              <w:numPr>
                <w:ilvl w:val="0"/>
                <w:numId w:val="11"/>
              </w:numPr>
              <w:overflowPunct w:val="0"/>
              <w:autoSpaceDE w:val="0"/>
              <w:autoSpaceDN w:val="0"/>
              <w:adjustRightInd w:val="0"/>
              <w:spacing w:line="259" w:lineRule="auto"/>
              <w:ind w:left="220" w:leftChars="105"/>
              <w:textAlignment w:val="baseline"/>
              <w:rPr>
                <w:rFonts w:hint="default" w:ascii="Times New Roman" w:hAnsi="Times New Roman" w:eastAsia="Malgun Gothic" w:cs="Times New Roman"/>
                <w:b w:val="0"/>
                <w:bCs w:val="0"/>
                <w:i w:val="0"/>
                <w:iCs w:val="0"/>
                <w:color w:val="000000"/>
                <w:sz w:val="20"/>
                <w:szCs w:val="18"/>
                <w:lang w:val="en-US" w:eastAsia="zh-CN"/>
              </w:rPr>
            </w:pPr>
            <w:r>
              <w:rPr>
                <w:rFonts w:hint="default" w:ascii="Times New Roman" w:hAnsi="Times New Roman" w:eastAsia="Malgun Gothic" w:cs="Times New Roman"/>
                <w:b w:val="0"/>
                <w:bCs w:val="0"/>
                <w:i w:val="0"/>
                <w:iCs w:val="0"/>
                <w:color w:val="000000"/>
                <w:sz w:val="20"/>
                <w:szCs w:val="18"/>
                <w:lang w:val="en-US" w:eastAsia="zh-CN"/>
              </w:rPr>
              <w:t>The association between AI/ML scheme and existing CSI feedback scheme for monitoring</w:t>
            </w:r>
          </w:p>
          <w:p>
            <w:pPr>
              <w:numPr>
                <w:ilvl w:val="0"/>
                <w:numId w:val="11"/>
              </w:numPr>
              <w:overflowPunct w:val="0"/>
              <w:autoSpaceDE w:val="0"/>
              <w:autoSpaceDN w:val="0"/>
              <w:adjustRightInd w:val="0"/>
              <w:spacing w:line="259" w:lineRule="auto"/>
              <w:ind w:left="220" w:leftChars="105"/>
              <w:textAlignment w:val="baseline"/>
              <w:rPr>
                <w:rFonts w:hint="default" w:ascii="Times New Roman" w:hAnsi="Times New Roman" w:eastAsia="Malgun Gothic" w:cs="Times New Roman"/>
                <w:b w:val="0"/>
                <w:bCs w:val="0"/>
                <w:i w:val="0"/>
                <w:iCs w:val="0"/>
                <w:color w:val="000000"/>
                <w:sz w:val="20"/>
                <w:szCs w:val="18"/>
                <w:lang w:eastAsia="zh-CN"/>
              </w:rPr>
            </w:pPr>
            <w:r>
              <w:rPr>
                <w:rFonts w:hint="default" w:ascii="Times New Roman" w:hAnsi="Times New Roman" w:eastAsia="Malgun Gothic" w:cs="Times New Roman"/>
                <w:b w:val="0"/>
                <w:bCs w:val="0"/>
                <w:i w:val="0"/>
                <w:iCs w:val="0"/>
                <w:color w:val="000000"/>
                <w:sz w:val="20"/>
                <w:szCs w:val="18"/>
                <w:lang w:val="en-US" w:eastAsia="zh-CN"/>
              </w:rPr>
              <w:t>Note: The metric for monitoring and comparison includes intermediate KPI and eventual KPI.</w:t>
            </w:r>
          </w:p>
          <w:p>
            <w:pPr>
              <w:numPr>
                <w:ilvl w:val="0"/>
                <w:numId w:val="11"/>
              </w:numPr>
              <w:overflowPunct w:val="0"/>
              <w:autoSpaceDE w:val="0"/>
              <w:autoSpaceDN w:val="0"/>
              <w:adjustRightInd w:val="0"/>
              <w:spacing w:line="259" w:lineRule="auto"/>
              <w:ind w:left="220" w:leftChars="105"/>
              <w:textAlignment w:val="baseline"/>
              <w:rPr>
                <w:rFonts w:hint="eastAsia" w:ascii="Arial" w:hAnsi="Arial" w:eastAsia="等线" w:cs="Arial"/>
                <w:sz w:val="20"/>
                <w:szCs w:val="21"/>
                <w:vertAlign w:val="baseline"/>
                <w:lang w:val="en-US" w:eastAsia="zh-CN"/>
              </w:rPr>
            </w:pPr>
            <w:r>
              <w:rPr>
                <w:rFonts w:hint="default" w:ascii="Times New Roman" w:hAnsi="Times New Roman" w:eastAsia="Malgun Gothic" w:cs="Times New Roman"/>
                <w:b w:val="0"/>
                <w:bCs w:val="0"/>
                <w:i w:val="0"/>
                <w:iCs w:val="0"/>
                <w:color w:val="000000"/>
                <w:sz w:val="20"/>
                <w:szCs w:val="18"/>
                <w:lang w:val="en-US" w:eastAsia="zh-CN"/>
              </w:rPr>
              <w:t>Other aspects are not precluded.</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eastAsia="等线" w:cs="Arial"/>
          <w:sz w:val="20"/>
          <w:szCs w:val="21"/>
          <w:lang w:val="en-US" w:eastAsia="zh-CN"/>
        </w:rPr>
      </w:pPr>
      <w:r>
        <w:rPr>
          <w:rFonts w:hint="eastAsia" w:ascii="Arial" w:hAnsi="Arial" w:eastAsia="等线" w:cs="Arial"/>
          <w:sz w:val="20"/>
          <w:szCs w:val="21"/>
          <w:lang w:val="en-US" w:eastAsia="zh-CN"/>
        </w:rPr>
        <w:t xml:space="preserve">Regarding beam management with NW-sided model or UE-sided model, UE reporting of beam measurement is needed for model monitoring in network side. RRC signaling or L1 signaling can be applicable for model monitoring based on RAN1 agreement. Thus, at least L1 reporting, L3 measurement, immediate MDT and UAI can be further studied. For UE monitoring UE-sided model, configuration from network may be needed.  </w:t>
      </w:r>
    </w:p>
    <w:tbl>
      <w:tblPr>
        <w:tblStyle w:val="14"/>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9" w:type="dxa"/>
          </w:tcPr>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1"/>
                <w:szCs w:val="21"/>
                <w:highlight w:val="green"/>
                <w:lang w:val="en-GB" w:eastAsia="zh-CN"/>
              </w:rPr>
            </w:pPr>
            <w:r>
              <w:rPr>
                <w:rFonts w:hint="default" w:ascii="Times New Roman" w:hAnsi="Times New Roman" w:cs="Times New Roman"/>
                <w:sz w:val="21"/>
                <w:szCs w:val="21"/>
                <w:highlight w:val="green"/>
                <w:lang w:val="en-GB" w:eastAsia="en-GB"/>
              </w:rPr>
              <w:t>RAN1#1</w:t>
            </w:r>
            <w:r>
              <w:rPr>
                <w:rFonts w:hint="default" w:ascii="Times New Roman" w:hAnsi="Times New Roman" w:cs="Times New Roman"/>
                <w:sz w:val="21"/>
                <w:szCs w:val="21"/>
                <w:highlight w:val="green"/>
                <w:lang w:val="en-GB" w:eastAsia="zh-CN"/>
              </w:rPr>
              <w:t>1</w:t>
            </w:r>
            <w:r>
              <w:rPr>
                <w:rFonts w:hint="eastAsia" w:ascii="Times New Roman" w:hAnsi="Times New Roman" w:cs="Times New Roman"/>
                <w:sz w:val="21"/>
                <w:szCs w:val="21"/>
                <w:highlight w:val="green"/>
                <w:lang w:val="en-US" w:eastAsia="zh-CN"/>
              </w:rPr>
              <w:t xml:space="preserve">1 </w:t>
            </w:r>
            <w:r>
              <w:rPr>
                <w:rFonts w:hint="eastAsia" w:ascii="Times New Roman" w:hAnsi="Times New Roman" w:cs="Times New Roman"/>
                <w:sz w:val="21"/>
                <w:szCs w:val="21"/>
                <w:highlight w:val="green"/>
                <w:lang w:val="en-GB" w:eastAsia="zh-CN"/>
              </w:rPr>
              <w:t>A</w:t>
            </w:r>
            <w:r>
              <w:rPr>
                <w:rFonts w:hint="default" w:ascii="Times New Roman" w:hAnsi="Times New Roman" w:cs="Times New Roman"/>
                <w:sz w:val="21"/>
                <w:szCs w:val="21"/>
                <w:highlight w:val="green"/>
                <w:lang w:val="en-GB" w:eastAsia="zh-CN"/>
              </w:rPr>
              <w:t>greement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Regarding NW-side model monitoring for a network-side AI/ML model of BM-Case1 and BM-Case2, study the necessity and the potential specification impacts from the following aspects:</w:t>
            </w:r>
          </w:p>
          <w:p>
            <w:pPr>
              <w:pStyle w:val="8"/>
              <w:keepNext w:val="0"/>
              <w:keepLines w:val="0"/>
              <w:pageBreakBefore w:val="0"/>
              <w:widowControl w:val="0"/>
              <w:numPr>
                <w:ilvl w:val="0"/>
                <w:numId w:val="12"/>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 xml:space="preserve">UE reporting of beam measurement(s) based on a set of beams indicated by gNB </w:t>
            </w:r>
          </w:p>
          <w:p>
            <w:pPr>
              <w:pStyle w:val="8"/>
              <w:keepNext w:val="0"/>
              <w:keepLines w:val="0"/>
              <w:pageBreakBefore w:val="0"/>
              <w:widowControl w:val="0"/>
              <w:numPr>
                <w:ilvl w:val="0"/>
                <w:numId w:val="12"/>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Signaling, e.g., RRC-based, L1-based</w:t>
            </w:r>
          </w:p>
          <w:p>
            <w:pPr>
              <w:pStyle w:val="8"/>
              <w:keepNext w:val="0"/>
              <w:keepLines w:val="0"/>
              <w:pageBreakBefore w:val="0"/>
              <w:widowControl w:val="0"/>
              <w:numPr>
                <w:ilvl w:val="0"/>
                <w:numId w:val="12"/>
              </w:numPr>
              <w:kinsoku/>
              <w:wordWrap/>
              <w:overflowPunct/>
              <w:topLinePunct w:val="0"/>
              <w:autoSpaceDE/>
              <w:autoSpaceDN/>
              <w:bidi w:val="0"/>
              <w:adjustRightInd/>
              <w:snapToGrid/>
              <w:spacing w:after="0"/>
              <w:jc w:val="left"/>
              <w:textAlignment w:val="auto"/>
              <w:rPr>
                <w:rFonts w:hint="eastAsia" w:ascii="Arial" w:hAnsi="Arial" w:eastAsia="宋体" w:cs="Arial"/>
                <w:kern w:val="0"/>
                <w:szCs w:val="21"/>
                <w:vertAlign w:val="baseline"/>
                <w:lang w:val="en-US" w:eastAsia="zh-CN"/>
              </w:rPr>
            </w:pPr>
            <w:r>
              <w:rPr>
                <w:rFonts w:hint="default" w:ascii="Times New Roman" w:hAnsi="Times New Roman" w:cs="Times New Roman"/>
                <w:b w:val="0"/>
                <w:bCs/>
                <w:i w:val="0"/>
                <w:iCs/>
                <w:sz w:val="20"/>
                <w:szCs w:val="21"/>
              </w:rPr>
              <w:t>Note: Performance and UE complexity, power consumption should be considered</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GB" w:eastAsia="zh-CN"/>
              </w:rPr>
            </w:pPr>
            <w:r>
              <w:rPr>
                <w:rFonts w:hint="default" w:ascii="Times New Roman" w:hAnsi="Times New Roman" w:cs="Times New Roman"/>
                <w:sz w:val="21"/>
                <w:szCs w:val="21"/>
                <w:highlight w:val="green"/>
                <w:lang w:val="en-US" w:eastAsia="zh-CN"/>
              </w:rPr>
              <w:t xml:space="preserve">RAN1#112bis-e </w:t>
            </w:r>
            <w:r>
              <w:rPr>
                <w:rFonts w:hint="default" w:ascii="Times New Roman" w:hAnsi="Times New Roman" w:cs="Times New Roman"/>
                <w:sz w:val="21"/>
                <w:szCs w:val="21"/>
                <w:highlight w:val="green"/>
                <w:lang w:val="en-GB" w:eastAsia="zh-CN"/>
              </w:rPr>
              <w:t>Agreement</w:t>
            </w:r>
          </w:p>
          <w:p>
            <w:pPr>
              <w:spacing w:after="120"/>
              <w:ind w:left="0" w:firstLine="0"/>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For BM-Case1 and BM-Case2 with a UE-side AI/ML model, regarding </w:t>
            </w:r>
            <w:r>
              <w:rPr>
                <w:rFonts w:hint="default" w:ascii="Times New Roman" w:hAnsi="Times New Roman" w:cs="Times New Roman"/>
                <w:b w:val="0"/>
                <w:bCs/>
                <w:i w:val="0"/>
                <w:iCs/>
                <w:sz w:val="20"/>
                <w:szCs w:val="21"/>
                <w:highlight w:val="yellow"/>
              </w:rPr>
              <w:t>NW-side performance monitoring,</w:t>
            </w:r>
            <w:r>
              <w:rPr>
                <w:rFonts w:hint="default" w:ascii="Times New Roman" w:hAnsi="Times New Roman" w:cs="Times New Roman"/>
                <w:b w:val="0"/>
                <w:bCs/>
                <w:i w:val="0"/>
                <w:iCs/>
                <w:sz w:val="20"/>
                <w:szCs w:val="21"/>
              </w:rPr>
              <w:t xml:space="preserve"> </w:t>
            </w:r>
            <w:r>
              <w:rPr>
                <w:rFonts w:hint="default" w:ascii="Times New Roman" w:hAnsi="Times New Roman" w:cs="Times New Roman"/>
                <w:b w:val="0"/>
                <w:bCs/>
                <w:i w:val="0"/>
                <w:iCs/>
                <w:sz w:val="20"/>
                <w:szCs w:val="21"/>
                <w:lang w:eastAsia="zh-CN"/>
              </w:rPr>
              <w:t xml:space="preserve">study the following aspects as a starting point including the study of necessity: </w:t>
            </w:r>
          </w:p>
          <w:p>
            <w:pPr>
              <w:numPr>
                <w:ilvl w:val="0"/>
                <w:numId w:val="13"/>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21"/>
                <w:lang w:eastAsia="zh-CN"/>
              </w:rPr>
              <w:t>Configuration/Signaling from gNB to UE for measurement and/or reporting</w:t>
            </w:r>
          </w:p>
          <w:p>
            <w:pPr>
              <w:numPr>
                <w:ilvl w:val="0"/>
                <w:numId w:val="13"/>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21"/>
                <w:lang w:eastAsia="zh-CN"/>
              </w:rPr>
              <w:t xml:space="preserve">UE reporting to NW (e.g., for the calculation of performance metric) </w:t>
            </w:r>
          </w:p>
          <w:p>
            <w:pPr>
              <w:numPr>
                <w:ilvl w:val="0"/>
                <w:numId w:val="13"/>
              </w:numPr>
              <w:spacing w:line="252" w:lineRule="auto"/>
              <w:contextualSpacing/>
              <w:rPr>
                <w:rFonts w:hint="default" w:ascii="Times New Roman" w:hAnsi="Times New Roman" w:eastAsia="Yu Mincho" w:cs="Times New Roman"/>
                <w:b w:val="0"/>
                <w:bCs/>
                <w:i w:val="0"/>
                <w:iCs/>
                <w:color w:val="000000"/>
                <w:sz w:val="20"/>
                <w:szCs w:val="21"/>
                <w:lang w:eastAsia="zh-CN"/>
              </w:rPr>
            </w:pPr>
            <w:r>
              <w:rPr>
                <w:rFonts w:hint="default" w:ascii="Times New Roman" w:hAnsi="Times New Roman" w:cs="Times New Roman"/>
                <w:b w:val="0"/>
                <w:bCs/>
                <w:i w:val="0"/>
                <w:iCs/>
                <w:color w:val="000000"/>
                <w:sz w:val="20"/>
                <w:szCs w:val="18"/>
                <w:lang w:eastAsia="zh-CN"/>
              </w:rPr>
              <w:t xml:space="preserve">Indication from NW for UE to do LCM operations </w:t>
            </w:r>
          </w:p>
          <w:p>
            <w:pPr>
              <w:numPr>
                <w:ilvl w:val="0"/>
                <w:numId w:val="13"/>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21"/>
                <w:lang w:eastAsia="zh-CN"/>
              </w:rPr>
              <w:t>Other aspect(s) is not precluded</w:t>
            </w:r>
          </w:p>
          <w:p>
            <w:pPr>
              <w:numPr>
                <w:ilvl w:val="0"/>
                <w:numId w:val="13"/>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21"/>
                <w:lang w:eastAsia="zh-CN"/>
              </w:rPr>
              <w:t>Note1: At least the performance and reporting overhead of model monitoring mechanism should be considered</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GB" w:eastAsia="zh-CN"/>
              </w:rPr>
            </w:pPr>
            <w:r>
              <w:rPr>
                <w:rFonts w:hint="default" w:ascii="Times New Roman" w:hAnsi="Times New Roman" w:cs="Times New Roman"/>
                <w:sz w:val="21"/>
                <w:szCs w:val="21"/>
                <w:highlight w:val="green"/>
                <w:lang w:val="en-US" w:eastAsia="zh-CN"/>
              </w:rPr>
              <w:t xml:space="preserve">RAN1#112bis-e </w:t>
            </w:r>
            <w:r>
              <w:rPr>
                <w:rFonts w:hint="default" w:ascii="Times New Roman" w:hAnsi="Times New Roman" w:cs="Times New Roman"/>
                <w:sz w:val="21"/>
                <w:szCs w:val="21"/>
                <w:highlight w:val="green"/>
                <w:lang w:val="en-GB" w:eastAsia="zh-CN"/>
              </w:rPr>
              <w:t>Agreement</w:t>
            </w:r>
          </w:p>
          <w:p>
            <w:pPr>
              <w:spacing w:after="120"/>
              <w:ind w:left="0" w:firstLine="0"/>
              <w:rPr>
                <w:rFonts w:hint="default" w:ascii="Times New Roman" w:hAnsi="Times New Roman" w:cs="Times New Roman"/>
                <w:b w:val="0"/>
                <w:bCs/>
                <w:i w:val="0"/>
                <w:iCs/>
                <w:color w:val="000000"/>
                <w:sz w:val="20"/>
                <w:szCs w:val="21"/>
                <w:lang w:eastAsia="zh-CN"/>
              </w:rPr>
            </w:pPr>
            <w:r>
              <w:rPr>
                <w:rFonts w:hint="default" w:ascii="Times New Roman" w:hAnsi="Times New Roman" w:cs="Times New Roman"/>
                <w:b w:val="0"/>
                <w:bCs/>
                <w:i w:val="0"/>
                <w:iCs/>
                <w:color w:val="000000"/>
                <w:sz w:val="20"/>
                <w:szCs w:val="21"/>
                <w:lang w:eastAsia="zh-CN"/>
              </w:rPr>
              <w:t xml:space="preserve">For BM-Case1 and BM-Case2 with a UE-side AI/ML model, regarding </w:t>
            </w:r>
            <w:r>
              <w:rPr>
                <w:rFonts w:hint="default" w:ascii="Times New Roman" w:hAnsi="Times New Roman" w:cs="Times New Roman"/>
                <w:b w:val="0"/>
                <w:bCs/>
                <w:i w:val="0"/>
                <w:iCs/>
                <w:color w:val="000000"/>
                <w:sz w:val="20"/>
                <w:szCs w:val="21"/>
                <w:highlight w:val="yellow"/>
              </w:rPr>
              <w:t xml:space="preserve">UE-side </w:t>
            </w:r>
            <w:r>
              <w:rPr>
                <w:rFonts w:hint="default" w:ascii="Times New Roman" w:hAnsi="Times New Roman" w:cs="Times New Roman"/>
                <w:b w:val="0"/>
                <w:bCs/>
                <w:i w:val="0"/>
                <w:iCs/>
                <w:sz w:val="20"/>
                <w:szCs w:val="21"/>
                <w:highlight w:val="yellow"/>
              </w:rPr>
              <w:t>performance</w:t>
            </w:r>
            <w:r>
              <w:rPr>
                <w:rFonts w:hint="default" w:ascii="Times New Roman" w:hAnsi="Times New Roman" w:cs="Times New Roman"/>
                <w:b w:val="0"/>
                <w:bCs/>
                <w:i w:val="0"/>
                <w:iCs/>
                <w:color w:val="000000"/>
                <w:sz w:val="20"/>
                <w:szCs w:val="21"/>
                <w:highlight w:val="yellow"/>
              </w:rPr>
              <w:t xml:space="preserve"> monitoring</w:t>
            </w:r>
            <w:r>
              <w:rPr>
                <w:rFonts w:hint="default" w:ascii="Times New Roman" w:hAnsi="Times New Roman" w:cs="Times New Roman"/>
                <w:b w:val="0"/>
                <w:bCs/>
                <w:i w:val="0"/>
                <w:iCs/>
                <w:color w:val="000000"/>
                <w:sz w:val="20"/>
                <w:szCs w:val="21"/>
              </w:rPr>
              <w:t>,</w:t>
            </w:r>
            <w:r>
              <w:rPr>
                <w:rFonts w:hint="default" w:ascii="Times New Roman" w:hAnsi="Times New Roman" w:cs="Times New Roman"/>
                <w:b w:val="0"/>
                <w:bCs/>
                <w:i w:val="0"/>
                <w:iCs/>
                <w:color w:val="000000"/>
                <w:sz w:val="20"/>
                <w:szCs w:val="21"/>
                <w:lang w:eastAsia="zh-CN"/>
              </w:rPr>
              <w:t xml:space="preserve"> study the following aspects as a starting point including the study of necessity and feasibility: </w:t>
            </w:r>
          </w:p>
          <w:p>
            <w:pPr>
              <w:numPr>
                <w:ilvl w:val="0"/>
                <w:numId w:val="13"/>
              </w:numPr>
              <w:contextualSpacing/>
              <w:rPr>
                <w:rFonts w:hint="default" w:ascii="Times New Roman" w:hAnsi="Times New Roman" w:eastAsia="Yu Mincho" w:cs="Times New Roman"/>
                <w:b w:val="0"/>
                <w:bCs/>
                <w:i w:val="0"/>
                <w:iCs/>
                <w:color w:val="000000"/>
                <w:sz w:val="20"/>
                <w:szCs w:val="21"/>
                <w:lang w:eastAsia="zh-CN"/>
              </w:rPr>
            </w:pPr>
            <w:r>
              <w:rPr>
                <w:rFonts w:hint="default" w:ascii="Times New Roman" w:hAnsi="Times New Roman" w:eastAsia="等线" w:cs="Times New Roman"/>
                <w:b w:val="0"/>
                <w:bCs/>
                <w:i w:val="0"/>
                <w:iCs/>
                <w:color w:val="000000"/>
                <w:sz w:val="20"/>
                <w:szCs w:val="21"/>
                <w:lang w:eastAsia="zh-CN"/>
              </w:rPr>
              <w:t xml:space="preserve">Indication/request/report from UE to gNB for performance monitoring </w:t>
            </w:r>
          </w:p>
          <w:p>
            <w:pPr>
              <w:numPr>
                <w:ilvl w:val="1"/>
                <w:numId w:val="13"/>
              </w:numPr>
              <w:contextualSpacing/>
              <w:rPr>
                <w:rFonts w:hint="default" w:ascii="Times New Roman" w:hAnsi="Times New Roman" w:eastAsia="Yu Mincho" w:cs="Times New Roman"/>
                <w:b w:val="0"/>
                <w:bCs/>
                <w:i w:val="0"/>
                <w:iCs/>
                <w:color w:val="000000"/>
                <w:sz w:val="20"/>
                <w:szCs w:val="21"/>
                <w:lang w:eastAsia="zh-CN"/>
              </w:rPr>
            </w:pPr>
            <w:r>
              <w:rPr>
                <w:rFonts w:hint="default" w:ascii="Times New Roman" w:hAnsi="Times New Roman" w:eastAsia="Yu Mincho" w:cs="Times New Roman"/>
                <w:b w:val="0"/>
                <w:bCs/>
                <w:i w:val="0"/>
                <w:iCs/>
                <w:color w:val="000000"/>
                <w:sz w:val="20"/>
                <w:szCs w:val="21"/>
                <w:lang w:eastAsia="zh-CN"/>
              </w:rPr>
              <w:t>Note: The indictation</w:t>
            </w:r>
            <w:r>
              <w:rPr>
                <w:rFonts w:hint="default" w:ascii="Times New Roman" w:hAnsi="Times New Roman" w:eastAsia="等线" w:cs="Times New Roman"/>
                <w:b w:val="0"/>
                <w:bCs/>
                <w:i w:val="0"/>
                <w:iCs/>
                <w:color w:val="000000"/>
                <w:sz w:val="20"/>
                <w:szCs w:val="21"/>
                <w:lang w:eastAsia="zh-CN"/>
              </w:rPr>
              <w:t>/request/report</w:t>
            </w:r>
            <w:r>
              <w:rPr>
                <w:rFonts w:hint="default" w:ascii="Times New Roman" w:hAnsi="Times New Roman" w:eastAsia="Yu Mincho" w:cs="Times New Roman"/>
                <w:b w:val="0"/>
                <w:bCs/>
                <w:i w:val="0"/>
                <w:iCs/>
                <w:color w:val="000000"/>
                <w:sz w:val="20"/>
                <w:szCs w:val="21"/>
                <w:lang w:eastAsia="zh-CN"/>
              </w:rPr>
              <w:t xml:space="preserve"> may be not needed in some case(s)</w:t>
            </w:r>
          </w:p>
          <w:p>
            <w:pPr>
              <w:numPr>
                <w:ilvl w:val="0"/>
                <w:numId w:val="13"/>
              </w:numPr>
              <w:contextualSpacing/>
              <w:rPr>
                <w:rFonts w:hint="default" w:ascii="Times New Roman" w:hAnsi="Times New Roman" w:eastAsia="Yu Mincho" w:cs="Times New Roman"/>
                <w:b w:val="0"/>
                <w:bCs/>
                <w:i w:val="0"/>
                <w:iCs/>
                <w:color w:val="000000"/>
                <w:sz w:val="20"/>
                <w:szCs w:val="21"/>
                <w:lang w:eastAsia="zh-CN"/>
              </w:rPr>
            </w:pPr>
            <w:r>
              <w:rPr>
                <w:rFonts w:hint="default" w:ascii="Times New Roman" w:hAnsi="Times New Roman" w:eastAsia="Yu Mincho" w:cs="Times New Roman"/>
                <w:b w:val="0"/>
                <w:bCs/>
                <w:i w:val="0"/>
                <w:iCs/>
                <w:color w:val="000000"/>
                <w:sz w:val="20"/>
                <w:szCs w:val="21"/>
                <w:lang w:eastAsia="zh-CN"/>
              </w:rPr>
              <w:t>Configuration/Signaling from gNB to UE for performance monitoring</w:t>
            </w:r>
          </w:p>
          <w:p>
            <w:pPr>
              <w:numPr>
                <w:ilvl w:val="0"/>
                <w:numId w:val="13"/>
              </w:numPr>
              <w:contextualSpacing/>
              <w:rPr>
                <w:rFonts w:hint="eastAsia" w:ascii="Arial" w:hAnsi="Arial" w:eastAsia="宋体" w:cs="Arial"/>
                <w:kern w:val="0"/>
                <w:szCs w:val="21"/>
                <w:vertAlign w:val="baseline"/>
                <w:lang w:val="en-US" w:eastAsia="zh-CN"/>
              </w:rPr>
            </w:pPr>
            <w:r>
              <w:rPr>
                <w:rFonts w:hint="default" w:ascii="Times New Roman" w:hAnsi="Times New Roman" w:eastAsia="Yu Mincho" w:cs="Times New Roman"/>
                <w:b w:val="0"/>
                <w:bCs/>
                <w:i w:val="0"/>
                <w:iCs/>
                <w:color w:val="000000"/>
                <w:sz w:val="20"/>
                <w:szCs w:val="21"/>
                <w:lang w:eastAsia="zh-CN"/>
              </w:rPr>
              <w:t>Other aspect(s) is not precluded</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等线" w:cs="Arial"/>
          <w:sz w:val="20"/>
          <w:szCs w:val="21"/>
          <w:lang w:val="en-US" w:eastAsia="zh-CN"/>
        </w:rPr>
      </w:pPr>
      <w:r>
        <w:rPr>
          <w:rFonts w:hint="default" w:ascii="Arial" w:hAnsi="Arial" w:eastAsia="等线" w:cs="Arial"/>
          <w:sz w:val="20"/>
          <w:szCs w:val="21"/>
          <w:lang w:eastAsia="zh-CN"/>
        </w:rPr>
        <w:t xml:space="preserve">Regarding </w:t>
      </w:r>
      <w:r>
        <w:rPr>
          <w:rFonts w:hint="eastAsia" w:ascii="Arial" w:hAnsi="Arial" w:eastAsia="等线" w:cs="Arial"/>
          <w:sz w:val="20"/>
          <w:szCs w:val="21"/>
          <w:lang w:val="en-US" w:eastAsia="zh-CN"/>
        </w:rPr>
        <w:t>positioning accuracy enhancement</w:t>
      </w:r>
      <w:r>
        <w:rPr>
          <w:rFonts w:hint="default" w:ascii="Arial" w:hAnsi="Arial" w:eastAsia="等线" w:cs="Arial"/>
          <w:sz w:val="20"/>
          <w:szCs w:val="21"/>
          <w:lang w:eastAsia="zh-CN"/>
        </w:rPr>
        <w:t xml:space="preserve">, </w:t>
      </w:r>
      <w:r>
        <w:rPr>
          <w:rFonts w:hint="eastAsia" w:ascii="Arial" w:hAnsi="Arial" w:eastAsia="等线" w:cs="Arial"/>
          <w:sz w:val="20"/>
          <w:szCs w:val="21"/>
          <w:lang w:val="en-US" w:eastAsia="zh-CN"/>
        </w:rPr>
        <w:t>if monitoring is based on model output (e.g. estimated UE location for direct AI/ML positioning, estimated intermediate parameters for AI/ML assisted positioning), at least LMF can perform the monitoring, so LPP is preferred for data collection for model monitoring</w:t>
      </w:r>
      <w:r>
        <w:rPr>
          <w:rFonts w:hint="default" w:ascii="Arial" w:hAnsi="Arial" w:eastAsia="等线" w:cs="Arial"/>
          <w:sz w:val="20"/>
          <w:szCs w:val="21"/>
          <w:lang w:eastAsia="zh-CN"/>
        </w:rPr>
        <w:t>.</w:t>
      </w:r>
      <w:r>
        <w:rPr>
          <w:rFonts w:hint="eastAsia" w:ascii="Arial" w:hAnsi="Arial" w:eastAsia="等线" w:cs="Arial"/>
          <w:sz w:val="20"/>
          <w:szCs w:val="21"/>
          <w:lang w:val="en-US" w:eastAsia="zh-CN"/>
        </w:rPr>
        <w:t xml:space="preserve"> If monitoring is based on model input (e.g. measurement corresponding to model inference input), model monitoring and inference can reside the same entity, so the similar mechanism to data collection for model inference input can be used.</w:t>
      </w:r>
    </w:p>
    <w:tbl>
      <w:tblPr>
        <w:tblStyle w:val="1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6" w:type="dxa"/>
          </w:tcPr>
          <w:p>
            <w:pPr>
              <w:ind w:left="0" w:firstLine="0"/>
              <w:rPr>
                <w:rFonts w:hint="default" w:ascii="Times New Roman" w:hAnsi="Times New Roman" w:cs="Times New Roman"/>
                <w:sz w:val="20"/>
                <w:szCs w:val="21"/>
                <w:highlight w:val="green"/>
                <w:lang w:eastAsia="zh-CN"/>
              </w:rPr>
            </w:pPr>
            <w:r>
              <w:rPr>
                <w:rFonts w:hint="default" w:ascii="Times New Roman" w:hAnsi="Times New Roman" w:cs="Times New Roman"/>
                <w:sz w:val="20"/>
                <w:szCs w:val="18"/>
                <w:highlight w:val="green"/>
                <w:lang w:eastAsia="zh-CN"/>
              </w:rPr>
              <w:t>Agreement</w:t>
            </w:r>
          </w:p>
          <w:p>
            <w:pPr>
              <w:numPr>
                <w:ilvl w:val="0"/>
                <w:numId w:val="9"/>
              </w:numPr>
              <w:ind w:left="284" w:hanging="284"/>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Regarding AI/ML </w:t>
            </w:r>
            <w:r>
              <w:rPr>
                <w:rFonts w:hint="default" w:ascii="Times New Roman" w:hAnsi="Times New Roman" w:cs="Times New Roman"/>
                <w:sz w:val="20"/>
                <w:szCs w:val="18"/>
                <w:highlight w:val="yellow"/>
                <w:lang w:eastAsia="zh-CN"/>
              </w:rPr>
              <w:t xml:space="preserve">model monitoring </w:t>
            </w:r>
            <w:r>
              <w:rPr>
                <w:rFonts w:hint="default" w:ascii="Times New Roman" w:hAnsi="Times New Roman" w:cs="Times New Roman"/>
                <w:sz w:val="20"/>
                <w:szCs w:val="18"/>
                <w:lang w:eastAsia="zh-CN"/>
              </w:rPr>
              <w:t>for AI/ML based positioning, to study and provide inputs on feasibility, potential benefits (if any) and potential specification impact at least for the following aspects</w:t>
            </w:r>
          </w:p>
          <w:p>
            <w:pPr>
              <w:numPr>
                <w:ilvl w:val="0"/>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At least the following are identified for further study as potential data for calculating monitoring metric</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If monitoring based on </w:t>
            </w:r>
            <w:r>
              <w:rPr>
                <w:rFonts w:hint="default" w:ascii="Times New Roman" w:hAnsi="Times New Roman" w:cs="Times New Roman"/>
                <w:color w:val="C00000"/>
                <w:sz w:val="20"/>
                <w:szCs w:val="18"/>
                <w:lang w:eastAsia="zh-CN"/>
              </w:rPr>
              <w:t>model output</w:t>
            </w:r>
          </w:p>
          <w:p>
            <w:pPr>
              <w:numPr>
                <w:ilvl w:val="2"/>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If monitoring based on </w:t>
            </w:r>
            <w:r>
              <w:rPr>
                <w:rFonts w:hint="default" w:ascii="Times New Roman" w:hAnsi="Times New Roman" w:cs="Times New Roman"/>
                <w:color w:val="C00000"/>
                <w:sz w:val="20"/>
                <w:szCs w:val="18"/>
                <w:lang w:eastAsia="zh-CN"/>
              </w:rPr>
              <w:t>model input</w:t>
            </w:r>
          </w:p>
          <w:p>
            <w:pPr>
              <w:numPr>
                <w:ilvl w:val="2"/>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E.g., measurement corresponding to model inference input</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Note1: other type of potential data for model monitoring is not precluded</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Note2: combination of one or more type of potential data for monitoring is not precluded</w:t>
            </w:r>
          </w:p>
          <w:p>
            <w:pPr>
              <w:numPr>
                <w:ilvl w:val="0"/>
                <w:numId w:val="9"/>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If a given type of data is necessary for calculating monitoring metric, study whether and if so</w:t>
            </w:r>
          </w:p>
          <w:p>
            <w:pPr>
              <w:numPr>
                <w:ilvl w:val="1"/>
                <w:numId w:val="9"/>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How an entity can be used to provide the given type of data for calculating monitoring metric</w:t>
            </w:r>
          </w:p>
          <w:p>
            <w:pPr>
              <w:numPr>
                <w:ilvl w:val="2"/>
                <w:numId w:val="9"/>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Companies are requested to report their assumption of the entity (or entities) used to provide the given type of data for calculating monitoring metric for each case</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21"/>
                <w:lang w:eastAsia="zh-CN"/>
              </w:rPr>
              <w:t xml:space="preserve">Potential signalling for provisioning of the given type of data for calculating associated </w:t>
            </w:r>
            <w:r>
              <w:rPr>
                <w:rFonts w:hint="default" w:ascii="Times New Roman" w:hAnsi="Times New Roman" w:cs="Times New Roman"/>
                <w:sz w:val="20"/>
                <w:szCs w:val="18"/>
                <w:lang w:eastAsia="zh-CN"/>
              </w:rPr>
              <w:t>monitoring metric</w:t>
            </w:r>
          </w:p>
          <w:p>
            <w:pPr>
              <w:numPr>
                <w:ilvl w:val="1"/>
                <w:numId w:val="9"/>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Potential assistance signaling and procedure to facilitate an entity providing data for calculating monitoring metric</w:t>
            </w:r>
          </w:p>
          <w:p>
            <w:pPr>
              <w:numPr>
                <w:ilvl w:val="1"/>
                <w:numId w:val="9"/>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Potential UE-network interaction</w:t>
            </w:r>
          </w:p>
          <w:p>
            <w:pPr>
              <w:numPr>
                <w:ilvl w:val="2"/>
                <w:numId w:val="9"/>
              </w:numPr>
              <w:rPr>
                <w:rFonts w:hint="default" w:ascii="Arial" w:hAnsi="Arial" w:eastAsia="等线" w:cs="Arial"/>
                <w:sz w:val="20"/>
                <w:szCs w:val="21"/>
                <w:vertAlign w:val="baseline"/>
                <w:lang w:val="en-US" w:eastAsia="zh-CN"/>
              </w:rPr>
            </w:pPr>
            <w:r>
              <w:rPr>
                <w:rFonts w:hint="default" w:ascii="Times New Roman" w:hAnsi="Times New Roman" w:cs="Times New Roman"/>
                <w:sz w:val="20"/>
                <w:szCs w:val="18"/>
                <w:lang w:eastAsia="zh-CN"/>
              </w:rPr>
              <w:t xml:space="preserve">E.g., model monitoring </w:t>
            </w:r>
            <w:r>
              <w:rPr>
                <w:rFonts w:hint="default" w:ascii="Times New Roman" w:hAnsi="Times New Roman" w:cs="Times New Roman"/>
                <w:sz w:val="20"/>
                <w:szCs w:val="21"/>
                <w:lang w:eastAsia="zh-CN"/>
              </w:rPr>
              <w:t xml:space="preserve">decision </w:t>
            </w:r>
            <w:r>
              <w:rPr>
                <w:rFonts w:hint="default" w:ascii="Times New Roman" w:hAnsi="Times New Roman" w:cs="Times New Roman"/>
                <w:sz w:val="20"/>
                <w:szCs w:val="18"/>
                <w:lang w:eastAsia="zh-CN"/>
              </w:rPr>
              <w:t>indication between UE and network</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eastAsia="等线" w:cs="Arial"/>
          <w:sz w:val="20"/>
          <w:szCs w:val="21"/>
          <w:lang w:val="en-US" w:eastAsia="zh-CN"/>
        </w:rPr>
      </w:pPr>
      <w:r>
        <w:rPr>
          <w:rFonts w:hint="eastAsia" w:ascii="Arial" w:hAnsi="Arial" w:cs="Arial"/>
          <w:sz w:val="20"/>
          <w:szCs w:val="21"/>
          <w:lang w:val="en-US" w:eastAsia="zh-CN"/>
        </w:rPr>
        <w:t xml:space="preserve">Based on the above analysis, we propose to further study the following data collection frameworks per use case for model monitoring. </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9: For model monitoring,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SON/MDT,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SON/MDT, UAI;</w:t>
      </w:r>
    </w:p>
    <w:p>
      <w:pPr>
        <w:spacing w:before="120" w:beforeLines="50" w:after="120" w:line="260" w:lineRule="exact"/>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 w:val="20"/>
          <w:szCs w:val="20"/>
          <w:lang w:val="en-US" w:eastAsia="zh-CN"/>
        </w:rPr>
        <w:t>- For positioning: LPP, SON/MDT, L3 measurement, UAI;</w:t>
      </w:r>
    </w:p>
    <w:p>
      <w:pPr>
        <w:widowControl/>
        <w:spacing w:before="120" w:beforeLines="50" w:after="180"/>
        <w:rPr>
          <w:rFonts w:hint="default" w:ascii="Arial" w:hAnsi="Arial" w:eastAsia="宋体" w:cs="Arial"/>
          <w:b/>
          <w:bCs/>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data collection</w:t>
      </w:r>
      <w:r>
        <w:rPr>
          <w:rFonts w:hint="eastAsia" w:ascii="Arial" w:hAnsi="Arial" w:eastAsia="宋体" w:cs="Arial"/>
          <w:kern w:val="0"/>
          <w:sz w:val="20"/>
          <w:szCs w:val="20"/>
        </w:rPr>
        <w:t xml:space="preserve"> for AI/ML for NR air interface</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General principle:</w:t>
      </w:r>
    </w:p>
    <w:p>
      <w:pPr>
        <w:spacing w:before="120" w:beforeLines="50" w:after="120" w:line="260" w:lineRule="exact"/>
        <w:rPr>
          <w:rFonts w:ascii="Arial" w:hAnsi="Arial" w:cs="Arial" w:eastAsiaTheme="minorEastAsia"/>
          <w:b/>
          <w:sz w:val="20"/>
          <w:szCs w:val="20"/>
          <w:lang w:val="en-GB" w:eastAsia="zh-CN"/>
        </w:rPr>
      </w:pPr>
      <w:r>
        <w:rPr>
          <w:rFonts w:ascii="Arial" w:hAnsi="Arial" w:cs="Arial" w:eastAsiaTheme="minorEastAsia"/>
          <w:b/>
          <w:sz w:val="20"/>
          <w:szCs w:val="20"/>
          <w:lang w:val="en-GB" w:eastAsia="zh-CN"/>
        </w:rPr>
        <w:t xml:space="preserve">Proposal </w:t>
      </w:r>
      <w:r>
        <w:rPr>
          <w:rFonts w:hint="eastAsia" w:ascii="Arial" w:hAnsi="Arial" w:cs="Arial"/>
          <w:b/>
          <w:sz w:val="20"/>
          <w:szCs w:val="20"/>
          <w:lang w:val="en-US" w:eastAsia="zh-CN"/>
        </w:rPr>
        <w:t>1</w:t>
      </w:r>
      <w:r>
        <w:rPr>
          <w:rFonts w:ascii="Arial" w:hAnsi="Arial" w:cs="Arial" w:eastAsiaTheme="minorEastAsia"/>
          <w:b/>
          <w:sz w:val="20"/>
          <w:szCs w:val="20"/>
          <w:lang w:val="en-GB" w:eastAsia="zh-CN"/>
        </w:rPr>
        <w:t xml:space="preserve">: </w:t>
      </w:r>
      <w:r>
        <w:rPr>
          <w:rFonts w:hint="eastAsia" w:ascii="Arial" w:hAnsi="Arial" w:cs="Arial"/>
          <w:b/>
          <w:sz w:val="20"/>
          <w:szCs w:val="20"/>
          <w:lang w:val="en-US" w:eastAsia="zh-CN"/>
        </w:rPr>
        <w:t>E</w:t>
      </w:r>
      <w:r>
        <w:rPr>
          <w:rFonts w:hint="eastAsia" w:ascii="Arial" w:hAnsi="Arial" w:cs="Arial" w:eastAsiaTheme="minorEastAsia"/>
          <w:b/>
          <w:sz w:val="20"/>
          <w:szCs w:val="20"/>
          <w:lang w:val="en-GB" w:eastAsia="zh-CN"/>
        </w:rPr>
        <w:t>arly measurement framework</w:t>
      </w:r>
      <w:r>
        <w:rPr>
          <w:rFonts w:hint="eastAsia" w:ascii="Arial" w:hAnsi="Arial" w:cs="Arial"/>
          <w:b/>
          <w:sz w:val="20"/>
          <w:szCs w:val="20"/>
          <w:lang w:val="en-US" w:eastAsia="zh-CN"/>
        </w:rPr>
        <w:t xml:space="preserve"> is pursued for data collection</w:t>
      </w:r>
      <w:r>
        <w:rPr>
          <w:rFonts w:ascii="Arial" w:hAnsi="Arial" w:cs="Arial" w:eastAsiaTheme="minorEastAsia"/>
          <w:b/>
          <w:sz w:val="20"/>
          <w:szCs w:val="20"/>
          <w:lang w:val="en-GB" w:eastAsia="zh-CN"/>
        </w:rPr>
        <w:t>.</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EVEX framework is not pursued in R18 AI/ML SI.</w:t>
      </w:r>
    </w:p>
    <w:p>
      <w:pPr>
        <w:widowControl/>
        <w:spacing w:after="180"/>
        <w:rPr>
          <w:rFonts w:hint="default" w:ascii="Arial" w:hAnsi="Arial" w:eastAsia="宋体" w:cs="Arial"/>
          <w:b/>
          <w:bCs/>
          <w:kern w:val="0"/>
          <w:szCs w:val="21"/>
          <w:u w:val="single"/>
          <w:lang w:val="en-US" w:eastAsia="zh-CN"/>
        </w:rPr>
      </w:pPr>
      <w:r>
        <w:rPr>
          <w:rFonts w:hint="eastAsia" w:ascii="Arial" w:hAnsi="Arial" w:cs="Arial"/>
          <w:b/>
          <w:bCs w:val="0"/>
          <w:i w:val="0"/>
          <w:iCs w:val="0"/>
          <w:sz w:val="20"/>
          <w:szCs w:val="20"/>
          <w:lang w:val="en-US" w:eastAsia="zh-CN"/>
        </w:rPr>
        <w:t>Proposal 3: For the details on the content of data, data size, latency requirements per use case, RAN2 can wait for RAN1</w:t>
      </w:r>
      <w:r>
        <w:rPr>
          <w:rFonts w:hint="default" w:ascii="Arial" w:hAnsi="Arial" w:cs="Arial"/>
          <w:b/>
          <w:bCs w:val="0"/>
          <w:i w:val="0"/>
          <w:iCs w:val="0"/>
          <w:sz w:val="20"/>
          <w:szCs w:val="20"/>
          <w:lang w:val="en-US" w:eastAsia="zh-CN"/>
        </w:rPr>
        <w:t>’</w:t>
      </w:r>
      <w:r>
        <w:rPr>
          <w:rFonts w:hint="eastAsia" w:ascii="Arial" w:hAnsi="Arial" w:cs="Arial"/>
          <w:b/>
          <w:bCs w:val="0"/>
          <w:i w:val="0"/>
          <w:iCs w:val="0"/>
          <w:sz w:val="20"/>
          <w:szCs w:val="20"/>
          <w:lang w:val="en-US" w:eastAsia="zh-CN"/>
        </w:rPr>
        <w:t>s progress</w:t>
      </w:r>
      <w:r>
        <w:rPr>
          <w:rFonts w:hint="eastAsia" w:ascii="Arial" w:hAnsi="Arial" w:cs="Arial"/>
          <w:b/>
          <w:bCs w:val="0"/>
          <w:sz w:val="20"/>
          <w:szCs w:val="20"/>
          <w:lang w:val="en-US" w:eastAsia="zh-CN"/>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Data collection for model training:</w:t>
      </w:r>
    </w:p>
    <w:p>
      <w:pPr>
        <w:pStyle w:val="8"/>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CSI feedback and beam management use case, data collection for offline training shall not be terminated at CN.</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Data collection for NW-side model training at UE side is precluded.</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Data collection from network to UE for model training at UE side for UE-side model can be further studied.</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There is no strict latency requirement for data collection for offline training and data set is relatively large.</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For model training,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SON/MDT,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SON/MDT, L3 measurement, UAI;</w:t>
      </w:r>
    </w:p>
    <w:p>
      <w:pPr>
        <w:spacing w:before="120" w:beforeLines="50" w:after="120" w:line="260" w:lineRule="exact"/>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positioning: LPP, SON/MDT, L3 measurement, UAI;</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inference:</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For model inference,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CSI reporting, immediate MDT,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immediate MDT, UAI;</w:t>
      </w:r>
    </w:p>
    <w:p>
      <w:pPr>
        <w:spacing w:before="120" w:beforeLines="50" w:after="120" w:line="260" w:lineRule="exact"/>
        <w:ind w:firstLine="420" w:firstLineChars="0"/>
        <w:rPr>
          <w:rFonts w:hint="default" w:ascii="Arial" w:hAnsi="Arial" w:cs="Arial"/>
          <w:sz w:val="20"/>
          <w:szCs w:val="21"/>
          <w:lang w:val="en-US" w:eastAsia="zh-CN"/>
        </w:rPr>
      </w:pPr>
      <w:r>
        <w:rPr>
          <w:rFonts w:hint="eastAsia" w:ascii="Arial" w:hAnsi="Arial" w:eastAsia="宋体" w:cs="Arial"/>
          <w:b/>
          <w:bCs/>
          <w:kern w:val="0"/>
          <w:sz w:val="20"/>
          <w:szCs w:val="20"/>
          <w:lang w:val="en-US" w:eastAsia="zh-CN"/>
        </w:rPr>
        <w:t>- For positioning: LPP, immediate MDT, L3 measurement, UAI;</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monitoring:</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9: For model monitoring,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SON/MDT,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SON/MDT, UAI;</w:t>
      </w:r>
    </w:p>
    <w:p>
      <w:pPr>
        <w:spacing w:before="120" w:beforeLines="50" w:after="120" w:line="260" w:lineRule="exact"/>
        <w:ind w:firstLine="420" w:firstLineChars="0"/>
        <w:rPr>
          <w:rFonts w:ascii="Arial" w:hAnsi="Arial" w:eastAsia="宋体" w:cs="Arial"/>
          <w:b/>
          <w:bCs/>
          <w:kern w:val="0"/>
          <w:szCs w:val="21"/>
        </w:rPr>
      </w:pPr>
      <w:r>
        <w:rPr>
          <w:rFonts w:hint="eastAsia" w:ascii="Arial" w:hAnsi="Arial" w:eastAsia="宋体" w:cs="Arial"/>
          <w:b/>
          <w:bCs/>
          <w:kern w:val="0"/>
          <w:sz w:val="20"/>
          <w:szCs w:val="20"/>
          <w:lang w:val="en-US" w:eastAsia="zh-CN"/>
        </w:rPr>
        <w:t>- For positioning: LPP, SON/MDT, L3 measurement, UAI;</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Draft_R2_121bis_meeting_report_v</w:t>
      </w:r>
      <w:r>
        <w:rPr>
          <w:rFonts w:hint="eastAsia" w:ascii="Arial" w:hAnsi="Arial" w:eastAsia="宋体" w:cs="Arial"/>
          <w:kern w:val="0"/>
          <w:sz w:val="20"/>
          <w:szCs w:val="20"/>
          <w:lang w:val="en-US" w:eastAsia="zh-CN"/>
        </w:rPr>
        <w:t>2</w:t>
      </w:r>
    </w:p>
    <w:p>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302286</w:t>
      </w:r>
      <w:r>
        <w:rPr>
          <w:rFonts w:hint="eastAsia" w:ascii="Arial" w:hAnsi="Arial" w:eastAsia="宋体" w:cs="Arial"/>
          <w:kern w:val="0"/>
          <w:sz w:val="20"/>
          <w:szCs w:val="20"/>
          <w:lang w:val="en-GB" w:eastAsia="en-US"/>
        </w:rPr>
        <w:t>, Summary of [AT121][025]: Progress table of analyzing data collection framework (Apple)</w:t>
      </w:r>
    </w:p>
    <w:p>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TS 26.531, Technical Specification Group Services and System Aspects; Data Collection and Reporting; General Description and Architecture (Stage-2 for EVEX)</w:t>
      </w:r>
    </w:p>
    <w:p>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TS 26.532, Technical Specification Group Services and System Aspects; Data Collection and Reporting; Protocols and Formats (Stage-3 for EVEX)</w:t>
      </w:r>
    </w:p>
    <w:p>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R1-2300993 Discussion on other aspects on AI/ML for beam management CMCC</w:t>
      </w:r>
    </w:p>
    <w:p>
      <w:pPr>
        <w:widowControl/>
        <w:numPr>
          <w:ilvl w:val="0"/>
          <w:numId w:val="1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R1-2300995 Discussion on other aspects on AI/ML for positioning accuracy enhancement CMCC</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8EC7A40"/>
    <w:multiLevelType w:val="multilevel"/>
    <w:tmpl w:val="08EC7A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2E8A0E39"/>
    <w:multiLevelType w:val="multilevel"/>
    <w:tmpl w:val="2E8A0E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0BED944"/>
    <w:multiLevelType w:val="singleLevel"/>
    <w:tmpl w:val="50BED944"/>
    <w:lvl w:ilvl="0" w:tentative="0">
      <w:start w:val="1"/>
      <w:numFmt w:val="decimal"/>
      <w:lvlText w:val="%1"/>
      <w:lvlJc w:val="left"/>
    </w:lvl>
  </w:abstractNum>
  <w:abstractNum w:abstractNumId="12">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8D7D2E"/>
    <w:multiLevelType w:val="multilevel"/>
    <w:tmpl w:val="718D7D2E"/>
    <w:lvl w:ilvl="0" w:tentative="0">
      <w:start w:val="1"/>
      <w:numFmt w:val="decimal"/>
      <w:pStyle w:val="2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0"/>
  </w:num>
  <w:num w:numId="3">
    <w:abstractNumId w:val="13"/>
  </w:num>
  <w:num w:numId="4">
    <w:abstractNumId w:val="12"/>
  </w:num>
  <w:num w:numId="5">
    <w:abstractNumId w:val="11"/>
  </w:num>
  <w:num w:numId="6">
    <w:abstractNumId w:val="4"/>
  </w:num>
  <w:num w:numId="7">
    <w:abstractNumId w:val="10"/>
  </w:num>
  <w:num w:numId="8">
    <w:abstractNumId w:val="9"/>
  </w:num>
  <w:num w:numId="9">
    <w:abstractNumId w:val="2"/>
  </w:num>
  <w:num w:numId="10">
    <w:abstractNumId w:val="7"/>
  </w:num>
  <w:num w:numId="11">
    <w:abstractNumId w:val="5"/>
  </w:num>
  <w:num w:numId="12">
    <w:abstractNumId w:val="1"/>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840FB9"/>
    <w:rsid w:val="01A574CF"/>
    <w:rsid w:val="01E966BF"/>
    <w:rsid w:val="029B08C6"/>
    <w:rsid w:val="02A424C3"/>
    <w:rsid w:val="02B71025"/>
    <w:rsid w:val="02FA6D08"/>
    <w:rsid w:val="0300491B"/>
    <w:rsid w:val="030E32B0"/>
    <w:rsid w:val="038A1F16"/>
    <w:rsid w:val="041A101A"/>
    <w:rsid w:val="04A12BB9"/>
    <w:rsid w:val="04A37BF0"/>
    <w:rsid w:val="04F25DBA"/>
    <w:rsid w:val="04FD5053"/>
    <w:rsid w:val="054134AD"/>
    <w:rsid w:val="05AD7C3D"/>
    <w:rsid w:val="05B81468"/>
    <w:rsid w:val="05FB3716"/>
    <w:rsid w:val="061355E6"/>
    <w:rsid w:val="069766D8"/>
    <w:rsid w:val="06EB297F"/>
    <w:rsid w:val="06F44776"/>
    <w:rsid w:val="071830B3"/>
    <w:rsid w:val="072E12A5"/>
    <w:rsid w:val="072E4FA9"/>
    <w:rsid w:val="07554650"/>
    <w:rsid w:val="079F7BD5"/>
    <w:rsid w:val="07CC0B7F"/>
    <w:rsid w:val="08241B14"/>
    <w:rsid w:val="08346E32"/>
    <w:rsid w:val="084F3982"/>
    <w:rsid w:val="08BD2F14"/>
    <w:rsid w:val="093223D0"/>
    <w:rsid w:val="09414F75"/>
    <w:rsid w:val="094470AB"/>
    <w:rsid w:val="095A6DFD"/>
    <w:rsid w:val="09926330"/>
    <w:rsid w:val="09B92009"/>
    <w:rsid w:val="09D63199"/>
    <w:rsid w:val="09F124DC"/>
    <w:rsid w:val="0A103B20"/>
    <w:rsid w:val="0A1469F1"/>
    <w:rsid w:val="0A173D8A"/>
    <w:rsid w:val="0AAC7074"/>
    <w:rsid w:val="0AB622D1"/>
    <w:rsid w:val="0ADE2342"/>
    <w:rsid w:val="0AE21792"/>
    <w:rsid w:val="0B11078A"/>
    <w:rsid w:val="0B7E67EB"/>
    <w:rsid w:val="0B96175E"/>
    <w:rsid w:val="0BB81E48"/>
    <w:rsid w:val="0BF550E1"/>
    <w:rsid w:val="0C202296"/>
    <w:rsid w:val="0C415301"/>
    <w:rsid w:val="0C4853AF"/>
    <w:rsid w:val="0C5466CF"/>
    <w:rsid w:val="0C7F3E15"/>
    <w:rsid w:val="0CC05689"/>
    <w:rsid w:val="0CD5224C"/>
    <w:rsid w:val="0CE47224"/>
    <w:rsid w:val="0D362C45"/>
    <w:rsid w:val="0D711EBE"/>
    <w:rsid w:val="0D771EA7"/>
    <w:rsid w:val="0DA728AC"/>
    <w:rsid w:val="0DAD175B"/>
    <w:rsid w:val="0DE14E46"/>
    <w:rsid w:val="0E3D4FDF"/>
    <w:rsid w:val="0E4A09D7"/>
    <w:rsid w:val="0E56201A"/>
    <w:rsid w:val="0E6E3C34"/>
    <w:rsid w:val="0F1D748A"/>
    <w:rsid w:val="0F4E079B"/>
    <w:rsid w:val="0F782620"/>
    <w:rsid w:val="0F8A7784"/>
    <w:rsid w:val="0FC803F4"/>
    <w:rsid w:val="10090A65"/>
    <w:rsid w:val="108B22CD"/>
    <w:rsid w:val="10AC6F3F"/>
    <w:rsid w:val="10C31C47"/>
    <w:rsid w:val="10C64AE7"/>
    <w:rsid w:val="10F04644"/>
    <w:rsid w:val="110171B2"/>
    <w:rsid w:val="111F30A5"/>
    <w:rsid w:val="119B1CE5"/>
    <w:rsid w:val="11D44799"/>
    <w:rsid w:val="11E4251C"/>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4256000"/>
    <w:rsid w:val="1466786F"/>
    <w:rsid w:val="14A668A4"/>
    <w:rsid w:val="14A9029F"/>
    <w:rsid w:val="14E836E8"/>
    <w:rsid w:val="14F142C3"/>
    <w:rsid w:val="150B6FBF"/>
    <w:rsid w:val="152B1104"/>
    <w:rsid w:val="154A66B0"/>
    <w:rsid w:val="159C7EDD"/>
    <w:rsid w:val="15BE553B"/>
    <w:rsid w:val="15E03E14"/>
    <w:rsid w:val="15E9482E"/>
    <w:rsid w:val="161147C5"/>
    <w:rsid w:val="16327956"/>
    <w:rsid w:val="166A7A3B"/>
    <w:rsid w:val="16725680"/>
    <w:rsid w:val="16A3322F"/>
    <w:rsid w:val="16C120B7"/>
    <w:rsid w:val="16D51B5B"/>
    <w:rsid w:val="17916AE6"/>
    <w:rsid w:val="17AE49E6"/>
    <w:rsid w:val="17CD5A7B"/>
    <w:rsid w:val="18035F6A"/>
    <w:rsid w:val="185C58E1"/>
    <w:rsid w:val="186366A3"/>
    <w:rsid w:val="187A66B9"/>
    <w:rsid w:val="1881324F"/>
    <w:rsid w:val="18A246AF"/>
    <w:rsid w:val="192F165F"/>
    <w:rsid w:val="195E3B99"/>
    <w:rsid w:val="196E4FB3"/>
    <w:rsid w:val="1A40430B"/>
    <w:rsid w:val="1A9A126F"/>
    <w:rsid w:val="1AA4601E"/>
    <w:rsid w:val="1ABF7C53"/>
    <w:rsid w:val="1ADE6206"/>
    <w:rsid w:val="1AE7452F"/>
    <w:rsid w:val="1B5E2B2B"/>
    <w:rsid w:val="1BB22919"/>
    <w:rsid w:val="1C263D41"/>
    <w:rsid w:val="1C6673DB"/>
    <w:rsid w:val="1C726F5B"/>
    <w:rsid w:val="1CC529AF"/>
    <w:rsid w:val="1D031FA5"/>
    <w:rsid w:val="1D700D25"/>
    <w:rsid w:val="1DE55E1B"/>
    <w:rsid w:val="1DEA2636"/>
    <w:rsid w:val="1E015BFF"/>
    <w:rsid w:val="1E261FEC"/>
    <w:rsid w:val="1E5D014C"/>
    <w:rsid w:val="1E625159"/>
    <w:rsid w:val="1E6C052F"/>
    <w:rsid w:val="1EB31B66"/>
    <w:rsid w:val="1EB529F8"/>
    <w:rsid w:val="1EF17AB3"/>
    <w:rsid w:val="1F1F4D17"/>
    <w:rsid w:val="1FE63CE8"/>
    <w:rsid w:val="205E7BE3"/>
    <w:rsid w:val="208A18F1"/>
    <w:rsid w:val="208D63E6"/>
    <w:rsid w:val="20A506BA"/>
    <w:rsid w:val="20F63843"/>
    <w:rsid w:val="20FE18B0"/>
    <w:rsid w:val="215A766D"/>
    <w:rsid w:val="21FA5606"/>
    <w:rsid w:val="220A4513"/>
    <w:rsid w:val="22B32E1B"/>
    <w:rsid w:val="22CD6AE0"/>
    <w:rsid w:val="236906A5"/>
    <w:rsid w:val="2375481A"/>
    <w:rsid w:val="23822B30"/>
    <w:rsid w:val="23EE120B"/>
    <w:rsid w:val="2403705B"/>
    <w:rsid w:val="249D5D77"/>
    <w:rsid w:val="24B445FB"/>
    <w:rsid w:val="24C74F14"/>
    <w:rsid w:val="24D708E2"/>
    <w:rsid w:val="251B6F7E"/>
    <w:rsid w:val="252515BC"/>
    <w:rsid w:val="25F5013E"/>
    <w:rsid w:val="262A1C6D"/>
    <w:rsid w:val="26315BFD"/>
    <w:rsid w:val="26537397"/>
    <w:rsid w:val="26A276B5"/>
    <w:rsid w:val="26BA68C7"/>
    <w:rsid w:val="27BC024E"/>
    <w:rsid w:val="27BE3E87"/>
    <w:rsid w:val="27C17045"/>
    <w:rsid w:val="27C35275"/>
    <w:rsid w:val="283167B4"/>
    <w:rsid w:val="28682A73"/>
    <w:rsid w:val="28E404D9"/>
    <w:rsid w:val="28F4407D"/>
    <w:rsid w:val="291138C7"/>
    <w:rsid w:val="29120E51"/>
    <w:rsid w:val="29733D9F"/>
    <w:rsid w:val="29A61468"/>
    <w:rsid w:val="29BE37C1"/>
    <w:rsid w:val="2A7D74CC"/>
    <w:rsid w:val="2A7F4563"/>
    <w:rsid w:val="2B3F4C1F"/>
    <w:rsid w:val="2B4D1216"/>
    <w:rsid w:val="2B58393A"/>
    <w:rsid w:val="2BE06712"/>
    <w:rsid w:val="2C095760"/>
    <w:rsid w:val="2C6E581C"/>
    <w:rsid w:val="2D146D2C"/>
    <w:rsid w:val="2D3B7B03"/>
    <w:rsid w:val="2D440581"/>
    <w:rsid w:val="2D470656"/>
    <w:rsid w:val="2D493ADC"/>
    <w:rsid w:val="2D55451C"/>
    <w:rsid w:val="2D5B158F"/>
    <w:rsid w:val="2DF144D1"/>
    <w:rsid w:val="2DFB6036"/>
    <w:rsid w:val="2EA86437"/>
    <w:rsid w:val="2EB103B1"/>
    <w:rsid w:val="2F0F71E6"/>
    <w:rsid w:val="2F383A5C"/>
    <w:rsid w:val="2F4559EE"/>
    <w:rsid w:val="2FBE43F5"/>
    <w:rsid w:val="2FC53C32"/>
    <w:rsid w:val="2FD157C7"/>
    <w:rsid w:val="300A115E"/>
    <w:rsid w:val="30296BB8"/>
    <w:rsid w:val="309D4655"/>
    <w:rsid w:val="30C026F3"/>
    <w:rsid w:val="315423FA"/>
    <w:rsid w:val="315B7AEC"/>
    <w:rsid w:val="317503B0"/>
    <w:rsid w:val="31D53C4D"/>
    <w:rsid w:val="31F71A11"/>
    <w:rsid w:val="31FE12AB"/>
    <w:rsid w:val="321B4537"/>
    <w:rsid w:val="32513A45"/>
    <w:rsid w:val="32B50B2C"/>
    <w:rsid w:val="32C84DFE"/>
    <w:rsid w:val="3337740D"/>
    <w:rsid w:val="33805DA1"/>
    <w:rsid w:val="33934B2E"/>
    <w:rsid w:val="33C37075"/>
    <w:rsid w:val="34062C68"/>
    <w:rsid w:val="34B443F6"/>
    <w:rsid w:val="34E12F4E"/>
    <w:rsid w:val="34EC41DF"/>
    <w:rsid w:val="35040A33"/>
    <w:rsid w:val="351A24AD"/>
    <w:rsid w:val="354E123E"/>
    <w:rsid w:val="354F2AD2"/>
    <w:rsid w:val="35C60438"/>
    <w:rsid w:val="360D6591"/>
    <w:rsid w:val="361F2C5E"/>
    <w:rsid w:val="363976F7"/>
    <w:rsid w:val="366E68DA"/>
    <w:rsid w:val="36E02E58"/>
    <w:rsid w:val="36F84B57"/>
    <w:rsid w:val="3751494E"/>
    <w:rsid w:val="375A24EA"/>
    <w:rsid w:val="37757EA8"/>
    <w:rsid w:val="3784494C"/>
    <w:rsid w:val="37D62F7A"/>
    <w:rsid w:val="3801173C"/>
    <w:rsid w:val="38060F79"/>
    <w:rsid w:val="38746ABC"/>
    <w:rsid w:val="38761BD7"/>
    <w:rsid w:val="38AE69D5"/>
    <w:rsid w:val="38FC32F5"/>
    <w:rsid w:val="39030A9D"/>
    <w:rsid w:val="396866FD"/>
    <w:rsid w:val="397E03C2"/>
    <w:rsid w:val="39DF043A"/>
    <w:rsid w:val="3A070DC0"/>
    <w:rsid w:val="3A2065C7"/>
    <w:rsid w:val="3A34378D"/>
    <w:rsid w:val="3A36160B"/>
    <w:rsid w:val="3AFB6043"/>
    <w:rsid w:val="3B191C47"/>
    <w:rsid w:val="3B295FAA"/>
    <w:rsid w:val="3B5C6A72"/>
    <w:rsid w:val="3B7F2CAA"/>
    <w:rsid w:val="3C1A13DF"/>
    <w:rsid w:val="3C4F0EBB"/>
    <w:rsid w:val="3C635FA0"/>
    <w:rsid w:val="3C8659AE"/>
    <w:rsid w:val="3CA66A58"/>
    <w:rsid w:val="3CBE3C7C"/>
    <w:rsid w:val="3CD165D4"/>
    <w:rsid w:val="3CF316DB"/>
    <w:rsid w:val="3D5B3EF0"/>
    <w:rsid w:val="3D5C58DF"/>
    <w:rsid w:val="3DB23DD9"/>
    <w:rsid w:val="3E390C78"/>
    <w:rsid w:val="3E500D27"/>
    <w:rsid w:val="3E573ADE"/>
    <w:rsid w:val="3EA55E90"/>
    <w:rsid w:val="3ECD0998"/>
    <w:rsid w:val="3ED508CA"/>
    <w:rsid w:val="3F1109BC"/>
    <w:rsid w:val="3F1B7587"/>
    <w:rsid w:val="3F805B16"/>
    <w:rsid w:val="3FA42170"/>
    <w:rsid w:val="3FAF36DB"/>
    <w:rsid w:val="405759DA"/>
    <w:rsid w:val="406A14B3"/>
    <w:rsid w:val="407C15D8"/>
    <w:rsid w:val="41171B69"/>
    <w:rsid w:val="41415E9E"/>
    <w:rsid w:val="41883A8E"/>
    <w:rsid w:val="418A60B4"/>
    <w:rsid w:val="41B370D6"/>
    <w:rsid w:val="42212582"/>
    <w:rsid w:val="42755843"/>
    <w:rsid w:val="42C70708"/>
    <w:rsid w:val="42E0254C"/>
    <w:rsid w:val="42F40D67"/>
    <w:rsid w:val="43146FF6"/>
    <w:rsid w:val="433204F8"/>
    <w:rsid w:val="433C3AAA"/>
    <w:rsid w:val="4345322A"/>
    <w:rsid w:val="43964A1C"/>
    <w:rsid w:val="44031DB9"/>
    <w:rsid w:val="447943E7"/>
    <w:rsid w:val="44B41FCD"/>
    <w:rsid w:val="44F46625"/>
    <w:rsid w:val="454C191C"/>
    <w:rsid w:val="459911EE"/>
    <w:rsid w:val="4599227F"/>
    <w:rsid w:val="45BE024B"/>
    <w:rsid w:val="45BE2AD4"/>
    <w:rsid w:val="45C2437E"/>
    <w:rsid w:val="45EA2721"/>
    <w:rsid w:val="46300B95"/>
    <w:rsid w:val="4699240B"/>
    <w:rsid w:val="46B7014A"/>
    <w:rsid w:val="46ED5CA5"/>
    <w:rsid w:val="46FE4C6E"/>
    <w:rsid w:val="475A659D"/>
    <w:rsid w:val="476207DA"/>
    <w:rsid w:val="47944B93"/>
    <w:rsid w:val="47C04462"/>
    <w:rsid w:val="47C96CD1"/>
    <w:rsid w:val="47D84F8A"/>
    <w:rsid w:val="47DB6ABB"/>
    <w:rsid w:val="48083448"/>
    <w:rsid w:val="48460696"/>
    <w:rsid w:val="492E569F"/>
    <w:rsid w:val="494B446A"/>
    <w:rsid w:val="494E1C27"/>
    <w:rsid w:val="49A36AB0"/>
    <w:rsid w:val="49A97E85"/>
    <w:rsid w:val="49D92DDD"/>
    <w:rsid w:val="49EF5321"/>
    <w:rsid w:val="4A347F6C"/>
    <w:rsid w:val="4A444508"/>
    <w:rsid w:val="4A456A14"/>
    <w:rsid w:val="4A66451F"/>
    <w:rsid w:val="4A9D45B8"/>
    <w:rsid w:val="4A9F545E"/>
    <w:rsid w:val="4AAB056F"/>
    <w:rsid w:val="4B626F00"/>
    <w:rsid w:val="4BC53B5B"/>
    <w:rsid w:val="4C340FD6"/>
    <w:rsid w:val="4C964045"/>
    <w:rsid w:val="4D010671"/>
    <w:rsid w:val="4D352FBB"/>
    <w:rsid w:val="4D743D8A"/>
    <w:rsid w:val="4E2452B7"/>
    <w:rsid w:val="4E695109"/>
    <w:rsid w:val="4E9C3B92"/>
    <w:rsid w:val="4E9D6524"/>
    <w:rsid w:val="4EAD1AF9"/>
    <w:rsid w:val="4EE23C1E"/>
    <w:rsid w:val="4F1913AC"/>
    <w:rsid w:val="4F6426A9"/>
    <w:rsid w:val="4F7A31F5"/>
    <w:rsid w:val="4FB92CDA"/>
    <w:rsid w:val="4FE775A6"/>
    <w:rsid w:val="4FF54231"/>
    <w:rsid w:val="50077447"/>
    <w:rsid w:val="50623802"/>
    <w:rsid w:val="50652E94"/>
    <w:rsid w:val="50A970CD"/>
    <w:rsid w:val="5163596F"/>
    <w:rsid w:val="51A0460E"/>
    <w:rsid w:val="51A823AB"/>
    <w:rsid w:val="51CC648B"/>
    <w:rsid w:val="52065DA2"/>
    <w:rsid w:val="522E4D5D"/>
    <w:rsid w:val="52642695"/>
    <w:rsid w:val="528B1069"/>
    <w:rsid w:val="528F0DD4"/>
    <w:rsid w:val="52930D7F"/>
    <w:rsid w:val="5296438C"/>
    <w:rsid w:val="53D170F4"/>
    <w:rsid w:val="54606A92"/>
    <w:rsid w:val="54611A81"/>
    <w:rsid w:val="55846FDD"/>
    <w:rsid w:val="55CD48C4"/>
    <w:rsid w:val="562365CA"/>
    <w:rsid w:val="56340430"/>
    <w:rsid w:val="56581D59"/>
    <w:rsid w:val="568502CA"/>
    <w:rsid w:val="56B0773B"/>
    <w:rsid w:val="571760EF"/>
    <w:rsid w:val="57792910"/>
    <w:rsid w:val="5781180D"/>
    <w:rsid w:val="57C77D46"/>
    <w:rsid w:val="57CF4F1B"/>
    <w:rsid w:val="58201757"/>
    <w:rsid w:val="585818C8"/>
    <w:rsid w:val="58602168"/>
    <w:rsid w:val="58AB4E89"/>
    <w:rsid w:val="58AD7356"/>
    <w:rsid w:val="58B5550E"/>
    <w:rsid w:val="58BD5C76"/>
    <w:rsid w:val="58C11261"/>
    <w:rsid w:val="58C34E9B"/>
    <w:rsid w:val="58D20175"/>
    <w:rsid w:val="59340E0B"/>
    <w:rsid w:val="59AD7B0E"/>
    <w:rsid w:val="59D55070"/>
    <w:rsid w:val="59FD6E5D"/>
    <w:rsid w:val="5A2F5AF5"/>
    <w:rsid w:val="5A8D1386"/>
    <w:rsid w:val="5A93303B"/>
    <w:rsid w:val="5ABB6C3C"/>
    <w:rsid w:val="5AFF7905"/>
    <w:rsid w:val="5B1836AE"/>
    <w:rsid w:val="5B492C91"/>
    <w:rsid w:val="5B6B15AA"/>
    <w:rsid w:val="5BAF6495"/>
    <w:rsid w:val="5BF25754"/>
    <w:rsid w:val="5C1E13B0"/>
    <w:rsid w:val="5C662A50"/>
    <w:rsid w:val="5CC73DD6"/>
    <w:rsid w:val="5CEA2522"/>
    <w:rsid w:val="5CF2777D"/>
    <w:rsid w:val="5D2708E3"/>
    <w:rsid w:val="5D664D05"/>
    <w:rsid w:val="5D7C584C"/>
    <w:rsid w:val="5D7F0635"/>
    <w:rsid w:val="5D894E7F"/>
    <w:rsid w:val="5D8D080D"/>
    <w:rsid w:val="5DBF6493"/>
    <w:rsid w:val="5DC12605"/>
    <w:rsid w:val="5E3E4C2D"/>
    <w:rsid w:val="5E5867E1"/>
    <w:rsid w:val="5E874CE8"/>
    <w:rsid w:val="5EB00E5C"/>
    <w:rsid w:val="5ED3533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A62DBA"/>
    <w:rsid w:val="60C03CCF"/>
    <w:rsid w:val="60D42D03"/>
    <w:rsid w:val="60E62C9D"/>
    <w:rsid w:val="61A06374"/>
    <w:rsid w:val="622470A5"/>
    <w:rsid w:val="625D25EA"/>
    <w:rsid w:val="62857C4E"/>
    <w:rsid w:val="6286607D"/>
    <w:rsid w:val="62A62781"/>
    <w:rsid w:val="62E05FC6"/>
    <w:rsid w:val="63464F7D"/>
    <w:rsid w:val="634B0772"/>
    <w:rsid w:val="636E7A2E"/>
    <w:rsid w:val="63815A2A"/>
    <w:rsid w:val="63C01CBD"/>
    <w:rsid w:val="643F3D04"/>
    <w:rsid w:val="644204E6"/>
    <w:rsid w:val="64635DFB"/>
    <w:rsid w:val="64AF3910"/>
    <w:rsid w:val="64BC2C9E"/>
    <w:rsid w:val="64C626B7"/>
    <w:rsid w:val="65912A7B"/>
    <w:rsid w:val="660E4242"/>
    <w:rsid w:val="662519F4"/>
    <w:rsid w:val="66354951"/>
    <w:rsid w:val="6679092A"/>
    <w:rsid w:val="66BA2385"/>
    <w:rsid w:val="66DB09CF"/>
    <w:rsid w:val="66E96680"/>
    <w:rsid w:val="67237A0F"/>
    <w:rsid w:val="67487CFE"/>
    <w:rsid w:val="677038E2"/>
    <w:rsid w:val="677777A9"/>
    <w:rsid w:val="67B43783"/>
    <w:rsid w:val="67B92A72"/>
    <w:rsid w:val="68233F9E"/>
    <w:rsid w:val="689340A3"/>
    <w:rsid w:val="68DC73EC"/>
    <w:rsid w:val="69293200"/>
    <w:rsid w:val="694347AF"/>
    <w:rsid w:val="694F06EB"/>
    <w:rsid w:val="6963607F"/>
    <w:rsid w:val="69766916"/>
    <w:rsid w:val="698F77F4"/>
    <w:rsid w:val="69B23B9D"/>
    <w:rsid w:val="69E82867"/>
    <w:rsid w:val="6AA159CB"/>
    <w:rsid w:val="6AA26939"/>
    <w:rsid w:val="6ACB1DCC"/>
    <w:rsid w:val="6AD50437"/>
    <w:rsid w:val="6AE4041A"/>
    <w:rsid w:val="6AEE57CB"/>
    <w:rsid w:val="6B9C69D2"/>
    <w:rsid w:val="6BB104FC"/>
    <w:rsid w:val="6BC75657"/>
    <w:rsid w:val="6BD126F0"/>
    <w:rsid w:val="6BE1773A"/>
    <w:rsid w:val="6BE35659"/>
    <w:rsid w:val="6C2B66F7"/>
    <w:rsid w:val="6C56491E"/>
    <w:rsid w:val="6C5B64F3"/>
    <w:rsid w:val="6CB84F3A"/>
    <w:rsid w:val="6D05726A"/>
    <w:rsid w:val="6D673555"/>
    <w:rsid w:val="6D717C1E"/>
    <w:rsid w:val="6DC267F1"/>
    <w:rsid w:val="6E032FC6"/>
    <w:rsid w:val="6E083615"/>
    <w:rsid w:val="6E0D26B4"/>
    <w:rsid w:val="6E360FB8"/>
    <w:rsid w:val="6E44084F"/>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6B4405"/>
    <w:rsid w:val="70801B07"/>
    <w:rsid w:val="709A7A5C"/>
    <w:rsid w:val="70A1406F"/>
    <w:rsid w:val="715B3C2A"/>
    <w:rsid w:val="71803C89"/>
    <w:rsid w:val="71994E64"/>
    <w:rsid w:val="71EE7FB9"/>
    <w:rsid w:val="72536FDC"/>
    <w:rsid w:val="727D75DF"/>
    <w:rsid w:val="72D36E77"/>
    <w:rsid w:val="72FB66FD"/>
    <w:rsid w:val="732872C5"/>
    <w:rsid w:val="73B920B2"/>
    <w:rsid w:val="74085669"/>
    <w:rsid w:val="74412921"/>
    <w:rsid w:val="7475710D"/>
    <w:rsid w:val="747621BD"/>
    <w:rsid w:val="750B356A"/>
    <w:rsid w:val="750C4DDC"/>
    <w:rsid w:val="7510569F"/>
    <w:rsid w:val="756950CA"/>
    <w:rsid w:val="75922EAF"/>
    <w:rsid w:val="75AD28A1"/>
    <w:rsid w:val="760A7D9D"/>
    <w:rsid w:val="763E51CC"/>
    <w:rsid w:val="766026E6"/>
    <w:rsid w:val="76B770A6"/>
    <w:rsid w:val="76CE7275"/>
    <w:rsid w:val="76E4362B"/>
    <w:rsid w:val="770A1659"/>
    <w:rsid w:val="7712242B"/>
    <w:rsid w:val="771F60E4"/>
    <w:rsid w:val="773A7A8E"/>
    <w:rsid w:val="782F327E"/>
    <w:rsid w:val="78A06277"/>
    <w:rsid w:val="78C64F8E"/>
    <w:rsid w:val="791A1EB8"/>
    <w:rsid w:val="798E4E1E"/>
    <w:rsid w:val="79A37A59"/>
    <w:rsid w:val="79C61A14"/>
    <w:rsid w:val="7A020CA3"/>
    <w:rsid w:val="7A067805"/>
    <w:rsid w:val="7AA408FA"/>
    <w:rsid w:val="7B123707"/>
    <w:rsid w:val="7B307625"/>
    <w:rsid w:val="7B347CEC"/>
    <w:rsid w:val="7B761608"/>
    <w:rsid w:val="7C105077"/>
    <w:rsid w:val="7C416F95"/>
    <w:rsid w:val="7C4E5B9F"/>
    <w:rsid w:val="7C580760"/>
    <w:rsid w:val="7C9C47E0"/>
    <w:rsid w:val="7C9E070C"/>
    <w:rsid w:val="7CBB152F"/>
    <w:rsid w:val="7D2C343C"/>
    <w:rsid w:val="7DBE5AB2"/>
    <w:rsid w:val="7E4B1AB3"/>
    <w:rsid w:val="7E58216F"/>
    <w:rsid w:val="7E886BD8"/>
    <w:rsid w:val="7E922F1E"/>
    <w:rsid w:val="7EEF7176"/>
    <w:rsid w:val="7F5D7752"/>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b/>
      <w:bCs/>
    </w:rPr>
  </w:style>
  <w:style w:type="paragraph" w:styleId="7">
    <w:name w:val="annotation text"/>
    <w:basedOn w:val="1"/>
    <w:link w:val="26"/>
    <w:qFormat/>
    <w:uiPriority w:val="99"/>
    <w:pPr>
      <w:jc w:val="left"/>
    </w:pPr>
  </w:style>
  <w:style w:type="paragraph" w:styleId="8">
    <w:name w:val="Body Text"/>
    <w:basedOn w:val="1"/>
    <w:qFormat/>
    <w:uiPriority w:val="0"/>
    <w:pPr>
      <w:spacing w:after="120"/>
      <w:jc w:val="both"/>
    </w:p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qFormat/>
    <w:uiPriority w:val="0"/>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11"/>
    <w:qFormat/>
    <w:uiPriority w:val="0"/>
  </w:style>
  <w:style w:type="paragraph" w:customStyle="1" w:styleId="24">
    <w:name w:val="Doc-text2"/>
    <w:basedOn w:val="1"/>
    <w:qFormat/>
    <w:uiPriority w:val="0"/>
    <w:pPr>
      <w:tabs>
        <w:tab w:val="left" w:pos="1622"/>
      </w:tabs>
      <w:ind w:left="1622" w:hanging="363"/>
      <w:jc w:val="left"/>
    </w:pPr>
    <w:rPr>
      <w:rFonts w:eastAsia="MS Mincho"/>
      <w:szCs w:val="24"/>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5"/>
    <w:link w:val="7"/>
    <w:qFormat/>
    <w:uiPriority w:val="99"/>
    <w:rPr>
      <w:kern w:val="2"/>
      <w:sz w:val="21"/>
      <w:szCs w:val="22"/>
    </w:rPr>
  </w:style>
  <w:style w:type="character" w:customStyle="1" w:styleId="27">
    <w:name w:val="批注主题 字符"/>
    <w:basedOn w:val="26"/>
    <w:link w:val="12"/>
    <w:semiHidden/>
    <w:qFormat/>
    <w:uiPriority w:val="99"/>
    <w:rPr>
      <w:b/>
      <w:bCs/>
      <w:kern w:val="2"/>
      <w:sz w:val="21"/>
      <w:szCs w:val="22"/>
    </w:rPr>
  </w:style>
  <w:style w:type="character" w:customStyle="1" w:styleId="28">
    <w:name w:val="标题 4 字符2"/>
    <w:link w:val="5"/>
    <w:qFormat/>
    <w:uiPriority w:val="9"/>
    <w:rPr>
      <w:i/>
    </w:rPr>
  </w:style>
  <w:style w:type="paragraph" w:customStyle="1" w:styleId="29">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30">
    <w:name w:val="Comments"/>
    <w:basedOn w:val="1"/>
    <w:qFormat/>
    <w:uiPriority w:val="0"/>
    <w:rPr>
      <w:i/>
      <w:sz w:val="18"/>
    </w:rPr>
  </w:style>
  <w:style w:type="paragraph" w:customStyle="1" w:styleId="31">
    <w:name w:val="Agreement"/>
    <w:basedOn w:val="1"/>
    <w:next w:val="24"/>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4</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2023-05-12T06:55:36Z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39467BB702B143818EDB812C2E6B0649</vt:lpwstr>
  </property>
</Properties>
</file>